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eastAsia" w:ascii="宋体" w:hAnsi="宋体" w:cs="宋体"/>
          <w:b/>
          <w:color w:val="auto"/>
          <w:kern w:val="0"/>
          <w:sz w:val="24"/>
          <w:highlight w:val="none"/>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97" w:right="1519" w:bottom="1497" w:left="1519" w:header="720" w:footer="720" w:gutter="0"/>
          <w:pgNumType w:start="1"/>
          <w:cols w:space="720" w:num="1"/>
          <w:titlePg/>
          <w:docGrid w:linePitch="272" w:charSpace="0"/>
        </w:sectPr>
      </w:pPr>
      <w:bookmarkStart w:id="0" w:name="_Toc520971064"/>
      <w:bookmarkStart w:id="1" w:name="_Toc427765911"/>
      <w:bookmarkStart w:id="2" w:name="OLE_LINK1"/>
    </w:p>
    <w:p>
      <w:pPr>
        <w:pStyle w:val="35"/>
        <w:adjustRightInd w:val="0"/>
        <w:spacing w:line="360" w:lineRule="auto"/>
        <w:rPr>
          <w:rFonts w:hint="eastAsia" w:ascii="宋体" w:hAnsi="宋体" w:cs="宋体"/>
          <w:color w:val="auto"/>
          <w:kern w:val="0"/>
          <w:highlight w:val="none"/>
        </w:rPr>
      </w:pPr>
    </w:p>
    <w:p>
      <w:pPr>
        <w:pStyle w:val="35"/>
        <w:adjustRightInd w:val="0"/>
        <w:spacing w:line="360" w:lineRule="auto"/>
        <w:rPr>
          <w:rFonts w:hint="eastAsia" w:ascii="宋体" w:hAnsi="宋体" w:cs="宋体"/>
          <w:color w:val="auto"/>
          <w:kern w:val="0"/>
          <w:highlight w:val="none"/>
        </w:rPr>
      </w:pPr>
    </w:p>
    <w:p>
      <w:pPr>
        <w:adjustRightInd w:val="0"/>
        <w:snapToGrid w:val="0"/>
        <w:spacing w:line="360" w:lineRule="auto"/>
        <w:jc w:val="center"/>
        <w:rPr>
          <w:rFonts w:hint="eastAsia" w:ascii="宋体" w:hAnsi="宋体" w:eastAsia="宋体" w:cs="宋体"/>
          <w:b/>
          <w:bCs/>
          <w:color w:val="auto"/>
          <w:kern w:val="0"/>
          <w:sz w:val="48"/>
          <w:szCs w:val="52"/>
          <w:highlight w:val="none"/>
          <w:lang w:eastAsia="zh-CN"/>
        </w:rPr>
      </w:pPr>
      <w:bookmarkStart w:id="70" w:name="_GoBack"/>
      <w:bookmarkEnd w:id="70"/>
      <w:r>
        <w:rPr>
          <w:rFonts w:hint="eastAsia" w:ascii="宋体" w:hAnsi="宋体" w:cs="宋体"/>
          <w:b/>
          <w:bCs/>
          <w:color w:val="auto"/>
          <w:kern w:val="0"/>
          <w:sz w:val="48"/>
          <w:szCs w:val="52"/>
          <w:highlight w:val="none"/>
          <w:lang w:eastAsia="zh-CN"/>
        </w:rPr>
        <w:t>二棉厂区绿化工程</w:t>
      </w:r>
    </w:p>
    <w:p>
      <w:pPr>
        <w:pStyle w:val="35"/>
        <w:adjustRightInd w:val="0"/>
        <w:spacing w:line="360" w:lineRule="auto"/>
        <w:rPr>
          <w:rFonts w:hint="eastAsia" w:ascii="宋体" w:hAnsi="宋体" w:cs="宋体"/>
          <w:color w:val="auto"/>
          <w:kern w:val="0"/>
          <w:highlight w:val="none"/>
        </w:rPr>
      </w:pPr>
    </w:p>
    <w:p>
      <w:pPr>
        <w:adjustRightInd w:val="0"/>
        <w:snapToGrid w:val="0"/>
        <w:spacing w:line="360" w:lineRule="auto"/>
        <w:jc w:val="center"/>
        <w:rPr>
          <w:rFonts w:hint="eastAsia" w:ascii="宋体" w:hAnsi="宋体" w:cs="宋体"/>
          <w:b/>
          <w:bCs/>
          <w:color w:val="auto"/>
          <w:kern w:val="0"/>
          <w:sz w:val="52"/>
          <w:szCs w:val="52"/>
          <w:highlight w:val="none"/>
        </w:rPr>
      </w:pPr>
    </w:p>
    <w:p>
      <w:pPr>
        <w:adjustRightInd w:val="0"/>
        <w:snapToGrid w:val="0"/>
        <w:spacing w:line="360" w:lineRule="auto"/>
        <w:jc w:val="center"/>
        <w:rPr>
          <w:rFonts w:hint="eastAsia" w:ascii="宋体" w:hAnsi="宋体" w:cs="宋体"/>
          <w:b/>
          <w:bCs/>
          <w:color w:val="auto"/>
          <w:kern w:val="0"/>
          <w:sz w:val="52"/>
          <w:szCs w:val="52"/>
          <w:highlight w:val="none"/>
        </w:rPr>
      </w:pPr>
    </w:p>
    <w:p>
      <w:pPr>
        <w:adjustRightInd w:val="0"/>
        <w:snapToGrid w:val="0"/>
        <w:spacing w:line="360" w:lineRule="auto"/>
        <w:jc w:val="center"/>
        <w:rPr>
          <w:rFonts w:hint="eastAsia" w:ascii="宋体" w:hAnsi="宋体" w:cs="宋体"/>
          <w:b/>
          <w:bCs/>
          <w:color w:val="auto"/>
          <w:kern w:val="0"/>
          <w:sz w:val="52"/>
          <w:szCs w:val="52"/>
          <w:highlight w:val="none"/>
        </w:rPr>
      </w:pPr>
    </w:p>
    <w:p>
      <w:pPr>
        <w:adjustRightInd w:val="0"/>
        <w:snapToGrid w:val="0"/>
        <w:spacing w:line="360" w:lineRule="auto"/>
        <w:jc w:val="center"/>
        <w:rPr>
          <w:rFonts w:hint="eastAsia" w:ascii="宋体" w:hAnsi="宋体" w:cs="宋体"/>
          <w:b/>
          <w:bCs/>
          <w:color w:val="auto"/>
          <w:kern w:val="0"/>
          <w:sz w:val="72"/>
          <w:szCs w:val="52"/>
          <w:highlight w:val="none"/>
        </w:rPr>
      </w:pPr>
      <w:r>
        <w:rPr>
          <w:rFonts w:hint="eastAsia" w:ascii="宋体" w:hAnsi="宋体" w:cs="宋体"/>
          <w:b/>
          <w:bCs/>
          <w:color w:val="auto"/>
          <w:kern w:val="0"/>
          <w:sz w:val="72"/>
          <w:szCs w:val="52"/>
          <w:highlight w:val="none"/>
        </w:rPr>
        <w:t>招标文件</w:t>
      </w:r>
    </w:p>
    <w:p>
      <w:pPr>
        <w:adjustRightInd w:val="0"/>
        <w:snapToGrid w:val="0"/>
        <w:spacing w:line="360" w:lineRule="auto"/>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（工程量清单计价）</w:t>
      </w:r>
    </w:p>
    <w:p>
      <w:pPr>
        <w:adjustRightInd w:val="0"/>
        <w:snapToGrid w:val="0"/>
        <w:spacing w:line="360" w:lineRule="auto"/>
        <w:ind w:firstLine="2876" w:firstLineChars="1364"/>
        <w:jc w:val="center"/>
        <w:rPr>
          <w:rFonts w:hint="eastAsia" w:ascii="宋体" w:hAnsi="宋体" w:cs="宋体"/>
          <w:b/>
          <w:color w:val="auto"/>
          <w:kern w:val="0"/>
          <w:szCs w:val="21"/>
          <w:highlight w:val="none"/>
        </w:rPr>
      </w:pPr>
    </w:p>
    <w:p>
      <w:pPr>
        <w:adjustRightInd w:val="0"/>
        <w:snapToGrid w:val="0"/>
        <w:spacing w:line="360" w:lineRule="auto"/>
        <w:rPr>
          <w:rFonts w:hint="eastAsia" w:ascii="宋体" w:hAnsi="宋体" w:cs="宋体"/>
          <w:color w:val="auto"/>
          <w:kern w:val="0"/>
          <w:highlight w:val="none"/>
        </w:rPr>
      </w:pPr>
    </w:p>
    <w:p>
      <w:pPr>
        <w:adjustRightInd w:val="0"/>
        <w:snapToGrid w:val="0"/>
        <w:spacing w:line="360" w:lineRule="auto"/>
        <w:jc w:val="center"/>
        <w:rPr>
          <w:rFonts w:hint="eastAsia" w:ascii="宋体" w:hAnsi="宋体" w:cs="宋体"/>
          <w:b/>
          <w:color w:val="auto"/>
          <w:kern w:val="0"/>
          <w:sz w:val="28"/>
          <w:szCs w:val="28"/>
          <w:highlight w:val="none"/>
        </w:rPr>
      </w:pPr>
    </w:p>
    <w:p>
      <w:pPr>
        <w:adjustRightInd w:val="0"/>
        <w:snapToGrid w:val="0"/>
        <w:spacing w:line="360" w:lineRule="auto"/>
        <w:jc w:val="center"/>
        <w:rPr>
          <w:rFonts w:hint="eastAsia" w:ascii="宋体" w:hAnsi="宋体" w:cs="宋体"/>
          <w:color w:val="auto"/>
          <w:kern w:val="0"/>
          <w:sz w:val="24"/>
          <w:highlight w:val="none"/>
        </w:rPr>
      </w:pPr>
    </w:p>
    <w:p>
      <w:pPr>
        <w:adjustRightInd w:val="0"/>
        <w:snapToGrid w:val="0"/>
        <w:spacing w:line="360" w:lineRule="auto"/>
        <w:rPr>
          <w:rFonts w:hint="eastAsia" w:ascii="宋体" w:hAnsi="宋体" w:cs="宋体"/>
          <w:color w:val="auto"/>
          <w:kern w:val="0"/>
          <w:sz w:val="24"/>
          <w:highlight w:val="none"/>
        </w:rPr>
      </w:pPr>
    </w:p>
    <w:p>
      <w:pPr>
        <w:pStyle w:val="2"/>
        <w:adjustRightInd w:val="0"/>
        <w:snapToGrid w:val="0"/>
        <w:rPr>
          <w:rFonts w:hint="eastAsia" w:ascii="宋体" w:hAnsi="宋体" w:eastAsia="宋体" w:cs="宋体"/>
          <w:color w:val="auto"/>
          <w:kern w:val="0"/>
          <w:sz w:val="24"/>
          <w:highlight w:val="none"/>
        </w:rPr>
      </w:pPr>
    </w:p>
    <w:p>
      <w:pPr>
        <w:pStyle w:val="2"/>
        <w:adjustRightInd w:val="0"/>
        <w:snapToGrid w:val="0"/>
        <w:rPr>
          <w:rFonts w:hint="eastAsia" w:ascii="宋体" w:hAnsi="宋体" w:eastAsia="宋体" w:cs="宋体"/>
          <w:color w:val="auto"/>
          <w:kern w:val="0"/>
          <w:sz w:val="24"/>
          <w:highlight w:val="none"/>
        </w:rPr>
      </w:pPr>
    </w:p>
    <w:p>
      <w:pPr>
        <w:pStyle w:val="2"/>
        <w:adjustRightInd w:val="0"/>
        <w:snapToGrid w:val="0"/>
        <w:rPr>
          <w:rFonts w:hint="eastAsia" w:ascii="宋体" w:hAnsi="宋体" w:eastAsia="宋体" w:cs="宋体"/>
          <w:color w:val="auto"/>
          <w:kern w:val="0"/>
          <w:sz w:val="24"/>
          <w:highlight w:val="none"/>
        </w:rPr>
      </w:pPr>
    </w:p>
    <w:p>
      <w:pPr>
        <w:adjustRightInd w:val="0"/>
        <w:snapToGrid w:val="0"/>
        <w:spacing w:line="360" w:lineRule="auto"/>
        <w:jc w:val="center"/>
        <w:rPr>
          <w:rFonts w:hint="eastAsia" w:ascii="宋体" w:hAnsi="宋体" w:eastAsia="宋体" w:cs="宋体"/>
          <w:b/>
          <w:color w:val="auto"/>
          <w:kern w:val="0"/>
          <w:sz w:val="32"/>
          <w:szCs w:val="32"/>
          <w:highlight w:val="none"/>
          <w:u w:val="single"/>
          <w:lang w:eastAsia="zh-CN"/>
        </w:rPr>
      </w:pPr>
      <w:r>
        <w:rPr>
          <w:rFonts w:hint="eastAsia" w:ascii="宋体" w:hAnsi="宋体" w:cs="宋体"/>
          <w:b/>
          <w:color w:val="auto"/>
          <w:kern w:val="0"/>
          <w:sz w:val="32"/>
          <w:szCs w:val="30"/>
          <w:highlight w:val="none"/>
          <w:lang w:eastAsia="zh-TW"/>
        </w:rPr>
        <w:t>招标</w:t>
      </w:r>
      <w:r>
        <w:rPr>
          <w:rFonts w:hint="eastAsia" w:ascii="宋体" w:hAnsi="宋体" w:cs="宋体"/>
          <w:b/>
          <w:color w:val="auto"/>
          <w:kern w:val="0"/>
          <w:sz w:val="32"/>
          <w:szCs w:val="30"/>
          <w:highlight w:val="none"/>
        </w:rPr>
        <w:t>人:</w:t>
      </w:r>
      <w:r>
        <w:rPr>
          <w:rFonts w:hint="eastAsia" w:ascii="宋体" w:hAnsi="宋体" w:cs="宋体"/>
          <w:b/>
          <w:color w:val="auto"/>
          <w:kern w:val="0"/>
          <w:sz w:val="32"/>
          <w:szCs w:val="30"/>
          <w:highlight w:val="none"/>
          <w:u w:val="single"/>
          <w:lang w:eastAsia="zh-CN"/>
        </w:rPr>
        <w:t>江苏南通二棉有限公司</w:t>
      </w:r>
    </w:p>
    <w:p>
      <w:pPr>
        <w:adjustRightInd w:val="0"/>
        <w:snapToGrid w:val="0"/>
        <w:spacing w:line="360" w:lineRule="auto"/>
        <w:jc w:val="center"/>
        <w:rPr>
          <w:rFonts w:hint="eastAsia" w:ascii="宋体" w:hAnsi="宋体" w:cs="宋体"/>
          <w:b/>
          <w:color w:val="auto"/>
          <w:kern w:val="0"/>
          <w:sz w:val="32"/>
          <w:szCs w:val="28"/>
          <w:highlight w:val="none"/>
          <w:u w:val="single"/>
        </w:rPr>
      </w:pPr>
      <w:r>
        <w:rPr>
          <w:rFonts w:hint="eastAsia" w:ascii="宋体" w:hAnsi="宋体" w:cs="宋体"/>
          <w:b/>
          <w:color w:val="auto"/>
          <w:kern w:val="0"/>
          <w:sz w:val="32"/>
          <w:szCs w:val="28"/>
          <w:highlight w:val="none"/>
          <w:lang w:eastAsia="zh-TW"/>
        </w:rPr>
        <w:t>招标代理机构</w:t>
      </w:r>
      <w:r>
        <w:rPr>
          <w:rFonts w:hint="eastAsia" w:ascii="宋体" w:hAnsi="宋体" w:cs="宋体"/>
          <w:b/>
          <w:color w:val="auto"/>
          <w:kern w:val="0"/>
          <w:sz w:val="32"/>
          <w:szCs w:val="28"/>
          <w:highlight w:val="none"/>
        </w:rPr>
        <w:t>:</w:t>
      </w:r>
      <w:r>
        <w:rPr>
          <w:rFonts w:hint="eastAsia" w:ascii="宋体" w:hAnsi="宋体" w:cs="宋体"/>
          <w:b/>
          <w:color w:val="auto"/>
          <w:kern w:val="0"/>
          <w:sz w:val="32"/>
          <w:szCs w:val="28"/>
          <w:highlight w:val="none"/>
          <w:u w:val="single"/>
        </w:rPr>
        <w:t>宏信天德工程顾问有限公司</w:t>
      </w:r>
    </w:p>
    <w:p>
      <w:pPr>
        <w:adjustRightInd w:val="0"/>
        <w:snapToGrid w:val="0"/>
        <w:spacing w:line="360" w:lineRule="auto"/>
        <w:jc w:val="center"/>
        <w:rPr>
          <w:rFonts w:hint="eastAsia" w:ascii="宋体" w:hAnsi="宋体" w:cs="宋体"/>
          <w:b/>
          <w:color w:val="auto"/>
          <w:kern w:val="0"/>
          <w:sz w:val="32"/>
          <w:szCs w:val="30"/>
          <w:highlight w:val="none"/>
          <w:u w:val="single"/>
        </w:rPr>
      </w:pPr>
      <w:r>
        <w:rPr>
          <w:rFonts w:hint="eastAsia" w:ascii="宋体" w:hAnsi="宋体" w:cs="宋体"/>
          <w:b/>
          <w:color w:val="auto"/>
          <w:kern w:val="0"/>
          <w:sz w:val="32"/>
          <w:szCs w:val="30"/>
          <w:highlight w:val="none"/>
        </w:rPr>
        <w:t>日期:</w:t>
      </w:r>
      <w:r>
        <w:rPr>
          <w:rFonts w:hint="eastAsia" w:ascii="宋体" w:hAnsi="宋体" w:cs="宋体"/>
          <w:b/>
          <w:color w:val="auto"/>
          <w:kern w:val="0"/>
          <w:sz w:val="32"/>
          <w:szCs w:val="32"/>
          <w:highlight w:val="none"/>
          <w:u w:val="single"/>
        </w:rPr>
        <w:t>二〇二</w:t>
      </w:r>
      <w:r>
        <w:rPr>
          <w:rFonts w:hint="eastAsia" w:ascii="宋体" w:hAnsi="宋体" w:cs="宋体"/>
          <w:b/>
          <w:color w:val="auto"/>
          <w:kern w:val="0"/>
          <w:sz w:val="32"/>
          <w:szCs w:val="32"/>
          <w:highlight w:val="none"/>
          <w:u w:val="single"/>
          <w:lang w:val="en-US" w:eastAsia="zh-CN"/>
        </w:rPr>
        <w:t>五</w:t>
      </w:r>
      <w:r>
        <w:rPr>
          <w:rFonts w:hint="eastAsia" w:ascii="宋体" w:hAnsi="宋体" w:cs="宋体"/>
          <w:b/>
          <w:color w:val="auto"/>
          <w:kern w:val="0"/>
          <w:sz w:val="32"/>
          <w:szCs w:val="32"/>
          <w:highlight w:val="none"/>
          <w:u w:val="single"/>
        </w:rPr>
        <w:t>年</w:t>
      </w:r>
      <w:r>
        <w:rPr>
          <w:rFonts w:hint="eastAsia" w:ascii="宋体" w:hAnsi="宋体" w:cs="宋体"/>
          <w:b/>
          <w:color w:val="auto"/>
          <w:kern w:val="0"/>
          <w:sz w:val="32"/>
          <w:szCs w:val="32"/>
          <w:highlight w:val="none"/>
          <w:u w:val="single"/>
          <w:lang w:val="en-US" w:eastAsia="zh-CN"/>
        </w:rPr>
        <w:t>八</w:t>
      </w:r>
      <w:r>
        <w:rPr>
          <w:rFonts w:hint="eastAsia" w:ascii="宋体" w:hAnsi="宋体" w:cs="宋体"/>
          <w:b/>
          <w:color w:val="auto"/>
          <w:kern w:val="0"/>
          <w:sz w:val="32"/>
          <w:szCs w:val="32"/>
          <w:highlight w:val="none"/>
          <w:u w:val="single"/>
        </w:rPr>
        <w:t>月</w:t>
      </w:r>
    </w:p>
    <w:p>
      <w:pPr>
        <w:autoSpaceDE w:val="0"/>
        <w:autoSpaceDN w:val="0"/>
        <w:adjustRightInd w:val="0"/>
        <w:snapToGrid w:val="0"/>
        <w:spacing w:line="360" w:lineRule="auto"/>
        <w:textAlignment w:val="bottom"/>
        <w:rPr>
          <w:rFonts w:hint="eastAsia" w:ascii="宋体" w:hAnsi="宋体" w:cs="宋体"/>
          <w:b/>
          <w:color w:val="auto"/>
          <w:kern w:val="0"/>
          <w:sz w:val="6"/>
          <w:szCs w:val="6"/>
          <w:highlight w:val="none"/>
        </w:rPr>
      </w:pPr>
    </w:p>
    <w:p>
      <w:pPr>
        <w:autoSpaceDE w:val="0"/>
        <w:autoSpaceDN w:val="0"/>
        <w:adjustRightInd w:val="0"/>
        <w:snapToGrid w:val="0"/>
        <w:spacing w:line="360" w:lineRule="auto"/>
        <w:textAlignment w:val="bottom"/>
        <w:rPr>
          <w:rFonts w:hint="eastAsia" w:ascii="宋体" w:hAnsi="宋体" w:cs="宋体"/>
          <w:color w:val="auto"/>
          <w:kern w:val="0"/>
          <w:sz w:val="24"/>
          <w:highlight w:val="none"/>
        </w:rPr>
      </w:pPr>
    </w:p>
    <w:p>
      <w:pPr>
        <w:adjustRightInd w:val="0"/>
        <w:snapToGrid w:val="0"/>
        <w:spacing w:line="360" w:lineRule="auto"/>
        <w:rPr>
          <w:rFonts w:hint="eastAsia" w:ascii="宋体" w:hAnsi="宋体" w:cs="宋体"/>
          <w:color w:val="auto"/>
          <w:kern w:val="0"/>
          <w:sz w:val="24"/>
          <w:highlight w:val="none"/>
        </w:rPr>
        <w:sectPr>
          <w:footerReference r:id="rId9" w:type="default"/>
          <w:type w:val="continuous"/>
          <w:pgSz w:w="11907" w:h="16840"/>
          <w:pgMar w:top="1497" w:right="1519" w:bottom="1497" w:left="1519" w:header="720" w:footer="720" w:gutter="0"/>
          <w:pgNumType w:start="1"/>
          <w:cols w:space="720" w:num="1"/>
          <w:docGrid w:linePitch="272" w:charSpace="0"/>
        </w:sectPr>
      </w:pPr>
    </w:p>
    <w:bookmarkEnd w:id="0"/>
    <w:bookmarkEnd w:id="1"/>
    <w:bookmarkEnd w:id="2"/>
    <w:p>
      <w:pPr>
        <w:adjustRightInd w:val="0"/>
        <w:snapToGrid w:val="0"/>
        <w:spacing w:line="360" w:lineRule="auto"/>
        <w:jc w:val="center"/>
        <w:outlineLvl w:val="0"/>
        <w:rPr>
          <w:rFonts w:hint="eastAsia" w:ascii="宋体" w:hAnsi="宋体" w:eastAsia="宋体" w:cs="宋体"/>
          <w:b/>
          <w:bCs/>
          <w:color w:val="auto"/>
          <w:kern w:val="0"/>
          <w:sz w:val="32"/>
          <w:szCs w:val="44"/>
          <w:highlight w:val="none"/>
          <w:lang w:eastAsia="zh-CN"/>
        </w:rPr>
      </w:pPr>
      <w:bookmarkStart w:id="3" w:name="_Toc48207446"/>
      <w:bookmarkStart w:id="4" w:name="OLE_LINK3"/>
      <w:bookmarkStart w:id="5" w:name="OLE_LINK2"/>
      <w:r>
        <w:rPr>
          <w:rFonts w:hint="eastAsia" w:ascii="宋体" w:hAnsi="宋体" w:cs="宋体"/>
          <w:b/>
          <w:bCs/>
          <w:color w:val="auto"/>
          <w:kern w:val="0"/>
          <w:sz w:val="32"/>
          <w:szCs w:val="44"/>
          <w:highlight w:val="none"/>
          <w:lang w:eastAsia="zh-CN"/>
        </w:rPr>
        <w:t>二棉厂区绿化工程</w:t>
      </w:r>
    </w:p>
    <w:p>
      <w:pPr>
        <w:adjustRightInd w:val="0"/>
        <w:snapToGrid w:val="0"/>
        <w:spacing w:line="360" w:lineRule="auto"/>
        <w:jc w:val="center"/>
        <w:outlineLvl w:val="0"/>
        <w:rPr>
          <w:rFonts w:hint="eastAsia" w:ascii="宋体" w:hAnsi="宋体" w:cs="宋体"/>
          <w:b/>
          <w:bCs/>
          <w:color w:val="auto"/>
          <w:kern w:val="0"/>
          <w:sz w:val="32"/>
          <w:szCs w:val="44"/>
          <w:highlight w:val="none"/>
        </w:rPr>
      </w:pPr>
      <w:r>
        <w:rPr>
          <w:rFonts w:hint="eastAsia" w:ascii="宋体" w:hAnsi="宋体" w:cs="宋体"/>
          <w:b/>
          <w:bCs/>
          <w:color w:val="auto"/>
          <w:kern w:val="0"/>
          <w:sz w:val="32"/>
          <w:szCs w:val="44"/>
          <w:highlight w:val="none"/>
        </w:rPr>
        <w:t>招标公告（资格后审）</w:t>
      </w:r>
      <w:bookmarkEnd w:id="3"/>
    </w:p>
    <w:bookmarkEnd w:id="4"/>
    <w:bookmarkEnd w:id="5"/>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1、招标条件</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本招标项目</w:t>
      </w:r>
      <w:r>
        <w:rPr>
          <w:rFonts w:hint="eastAsia" w:ascii="宋体" w:hAnsi="宋体" w:cs="宋体"/>
          <w:color w:val="auto"/>
          <w:kern w:val="0"/>
          <w:sz w:val="24"/>
          <w:highlight w:val="none"/>
          <w:u w:val="single"/>
          <w:lang w:eastAsia="zh-CN"/>
        </w:rPr>
        <w:t>二棉厂区绿化工程</w:t>
      </w:r>
      <w:r>
        <w:rPr>
          <w:rFonts w:hint="eastAsia" w:ascii="宋体" w:hAnsi="宋体" w:cs="宋体"/>
          <w:color w:val="auto"/>
          <w:kern w:val="0"/>
          <w:sz w:val="24"/>
          <w:highlight w:val="none"/>
        </w:rPr>
        <w:t>（项目名称）已由相关部门批准建设。招标人为</w:t>
      </w:r>
      <w:r>
        <w:rPr>
          <w:rFonts w:hint="eastAsia" w:ascii="宋体" w:hAnsi="宋体" w:cs="宋体"/>
          <w:color w:val="auto"/>
          <w:kern w:val="0"/>
          <w:sz w:val="24"/>
          <w:highlight w:val="none"/>
          <w:u w:val="single"/>
          <w:lang w:eastAsia="zh-CN"/>
        </w:rPr>
        <w:t>江苏南通二棉有限公司</w:t>
      </w:r>
      <w:r>
        <w:rPr>
          <w:rFonts w:hint="eastAsia" w:ascii="宋体" w:hAnsi="宋体" w:cs="宋体"/>
          <w:color w:val="auto"/>
          <w:kern w:val="0"/>
          <w:sz w:val="24"/>
          <w:highlight w:val="none"/>
        </w:rPr>
        <w:t>，招标代理机构为</w:t>
      </w:r>
      <w:r>
        <w:rPr>
          <w:rFonts w:hint="eastAsia" w:ascii="宋体" w:hAnsi="宋体" w:cs="宋体"/>
          <w:color w:val="auto"/>
          <w:kern w:val="0"/>
          <w:sz w:val="24"/>
          <w:highlight w:val="none"/>
          <w:u w:val="single"/>
        </w:rPr>
        <w:t>宏信天德工程顾问有限公司</w:t>
      </w:r>
      <w:r>
        <w:rPr>
          <w:rFonts w:hint="eastAsia" w:ascii="宋体" w:hAnsi="宋体" w:cs="宋体"/>
          <w:color w:val="auto"/>
          <w:kern w:val="0"/>
          <w:sz w:val="24"/>
          <w:highlight w:val="none"/>
        </w:rPr>
        <w:t>。建设资金来自</w:t>
      </w:r>
      <w:r>
        <w:rPr>
          <w:rFonts w:hint="eastAsia" w:ascii="宋体" w:hAnsi="宋体" w:cs="宋体"/>
          <w:color w:val="auto"/>
          <w:kern w:val="0"/>
          <w:sz w:val="24"/>
          <w:highlight w:val="none"/>
          <w:u w:val="single"/>
        </w:rPr>
        <w:t>自筹</w:t>
      </w:r>
      <w:r>
        <w:rPr>
          <w:rFonts w:hint="eastAsia" w:ascii="宋体" w:hAnsi="宋体" w:cs="宋体"/>
          <w:color w:val="auto"/>
          <w:kern w:val="0"/>
          <w:sz w:val="24"/>
          <w:highlight w:val="none"/>
        </w:rPr>
        <w:t>（资金来源）。项目已具备招标条件，现对该项目的施工进行公开招标。</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2、项目概况与招标范围</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（1）工程地点：江苏省南通市崇川区大生1号；</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（2）项目规模：约</w:t>
      </w:r>
      <w:r>
        <w:rPr>
          <w:rFonts w:hint="eastAsia" w:ascii="宋体" w:hAnsi="宋体" w:cs="宋体"/>
          <w:color w:val="auto"/>
          <w:kern w:val="0"/>
          <w:sz w:val="24"/>
          <w:highlight w:val="none"/>
          <w:lang w:val="en-US" w:eastAsia="zh-CN"/>
        </w:rPr>
        <w:t>35</w:t>
      </w:r>
      <w:r>
        <w:rPr>
          <w:rFonts w:hint="eastAsia" w:ascii="宋体" w:hAnsi="宋体" w:cs="宋体"/>
          <w:color w:val="auto"/>
          <w:kern w:val="0"/>
          <w:sz w:val="24"/>
          <w:highlight w:val="none"/>
        </w:rPr>
        <w:t>万元；</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（3）招标范围：本工程为</w:t>
      </w:r>
      <w:r>
        <w:rPr>
          <w:rFonts w:hint="eastAsia" w:ascii="宋体" w:hAnsi="宋体" w:cs="宋体"/>
          <w:color w:val="auto"/>
          <w:kern w:val="0"/>
          <w:sz w:val="24"/>
          <w:highlight w:val="none"/>
          <w:lang w:eastAsia="zh-CN"/>
        </w:rPr>
        <w:t>二棉厂区绿化工程</w:t>
      </w:r>
      <w:r>
        <w:rPr>
          <w:rFonts w:hint="eastAsia" w:ascii="宋体" w:hAnsi="宋体" w:cs="宋体"/>
          <w:color w:val="auto"/>
          <w:kern w:val="0"/>
          <w:sz w:val="24"/>
          <w:highlight w:val="none"/>
        </w:rPr>
        <w:t>施工，具体详见工程量清单及</w:t>
      </w:r>
      <w:r>
        <w:rPr>
          <w:rFonts w:hint="eastAsia" w:ascii="宋体" w:hAnsi="宋体" w:cs="宋体"/>
          <w:color w:val="auto"/>
          <w:kern w:val="0"/>
          <w:sz w:val="24"/>
          <w:highlight w:val="none"/>
          <w:lang w:val="en-US" w:eastAsia="zh-CN"/>
        </w:rPr>
        <w:t>附件</w:t>
      </w:r>
      <w:r>
        <w:rPr>
          <w:rFonts w:hint="eastAsia" w:ascii="宋体" w:hAnsi="宋体" w:cs="宋体"/>
          <w:color w:val="auto"/>
          <w:kern w:val="0"/>
          <w:sz w:val="24"/>
          <w:highlight w:val="none"/>
        </w:rPr>
        <w:t>。</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（4）工期：总工期</w:t>
      </w: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rPr>
        <w:t>日历天，具体开工日期以招标人书面开工通知为准。如部分工程因招标人原因暂停施工，相应工期顺延。</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（5）质量要求：合格；</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（6）标段划分及招标内容：本次招标工程共分</w:t>
      </w:r>
      <w:r>
        <w:rPr>
          <w:rFonts w:hint="eastAsia" w:ascii="宋体" w:hAnsi="宋体" w:cs="宋体"/>
          <w:color w:val="auto"/>
          <w:kern w:val="0"/>
          <w:sz w:val="24"/>
          <w:highlight w:val="none"/>
          <w:u w:val="single"/>
        </w:rPr>
        <w:t>1</w:t>
      </w:r>
      <w:r>
        <w:rPr>
          <w:rFonts w:hint="eastAsia" w:ascii="宋体" w:hAnsi="宋体" w:cs="宋体"/>
          <w:color w:val="auto"/>
          <w:kern w:val="0"/>
          <w:sz w:val="24"/>
          <w:highlight w:val="none"/>
        </w:rPr>
        <w:t>个标段；</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3、投标人资格要求</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3.1本次招标要求投标人须具备有效的营业执照，并在人员、设备、资金等方面具备相应的施工能力。</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本次招标要求投标人须</w:t>
      </w:r>
      <w:r>
        <w:rPr>
          <w:rFonts w:hint="eastAsia" w:ascii="宋体" w:hAnsi="宋体" w:cs="宋体"/>
          <w:b/>
          <w:bCs/>
          <w:color w:val="auto"/>
          <w:kern w:val="0"/>
          <w:sz w:val="24"/>
          <w:highlight w:val="none"/>
          <w:u w:val="single"/>
        </w:rPr>
        <w:t>具备建筑工程或市政公用工程施工总承包叁级及以上资质（须在有效期内）</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rPr>
        <w:t>同时取得有效的安全生产许可证，并在人员、设备、资金等方面具有相应的施工能力。</w:t>
      </w:r>
    </w:p>
    <w:p>
      <w:pPr>
        <w:adjustRightInd w:val="0"/>
        <w:snapToGrid w:val="0"/>
        <w:spacing w:line="360" w:lineRule="auto"/>
        <w:ind w:firstLine="480" w:firstLineChars="200"/>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lang w:val="en-US" w:eastAsia="zh-CN"/>
        </w:rPr>
        <w:t>3.3</w:t>
      </w:r>
      <w:r>
        <w:rPr>
          <w:rFonts w:hint="eastAsia" w:ascii="宋体" w:hAnsi="宋体" w:cs="宋体"/>
          <w:b/>
          <w:bCs/>
          <w:color w:val="auto"/>
          <w:kern w:val="0"/>
          <w:sz w:val="24"/>
          <w:highlight w:val="none"/>
        </w:rPr>
        <w:t>投标人不得存在下列情形之一：</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①为招标人不具有独立法人资格的附属机构（单位）；</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②为本招标项目的监理人、代建人、项目管理人，以及为本招标项目提供招标代理、设计服务的；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③与本招标项目的监理人、代建人、招标代理机构同为一个法定代表人的，或者相互控股、参股的；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4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④</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与招标人存在利害关系可能影响招标公正性的；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5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⑤</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单位负责人为同一人或者存在控股、管理关系的不同单位；</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6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⑥</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处于被责令停业、财产被接管、冻结和破产状态，以及投标资格被取消或者被暂停且在暂停期内；</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7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⑦</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因拖欠工人工资或者因发生质量安全事故被有关部门限制在招标项目所在地承接工程的；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8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⑧</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投标人近3年内有行贿犯罪行为且被记录，或者法定代表人有行贿犯罪记录且自记录之日起未超过5年的。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9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⑨</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不符合法律、法规规定的其他条件。</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3.5本次招标不接受联合体投标。</w:t>
      </w:r>
    </w:p>
    <w:p>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注：未尽之处具体详见招标文件“评标办法”中的“资格评审标准”。提供的资格审查材料及审查标准，前后矛盾的以“资格评审标准”为准。</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如发现投标人递交的资格后审材料有弄虚作假行为，该投标人将记入不良记录，并上报有关部门。如已中标，招标人有权取消其中标资格，并由该投标人承担一切责任和损失。</w:t>
      </w:r>
    </w:p>
    <w:p>
      <w:pPr>
        <w:adjustRightInd w:val="0"/>
        <w:snapToGrid w:val="0"/>
        <w:spacing w:line="360" w:lineRule="auto"/>
        <w:ind w:firstLine="482" w:firstLineChars="200"/>
        <w:jc w:val="left"/>
        <w:rPr>
          <w:rFonts w:ascii="宋体" w:hAnsi="宋体" w:cs="宋体"/>
          <w:color w:val="auto"/>
          <w:kern w:val="0"/>
          <w:sz w:val="24"/>
          <w:highlight w:val="none"/>
        </w:rPr>
      </w:pPr>
      <w:r>
        <w:rPr>
          <w:rFonts w:hint="eastAsia" w:ascii="宋体" w:hAnsi="宋体" w:cs="宋体"/>
          <w:b/>
          <w:bCs/>
          <w:color w:val="auto"/>
          <w:kern w:val="0"/>
          <w:sz w:val="24"/>
          <w:highlight w:val="none"/>
        </w:rPr>
        <w:t>4、招标文件的获取和报名</w:t>
      </w:r>
    </w:p>
    <w:p>
      <w:pPr>
        <w:wordWrap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4.1方式：本工程投标人的资格审查采用资格后审方式，招标人不组织投标人对工程现场的集中踏勘。凡有意参加投标者，请于投标截至时间前登录江苏大生集团有限公司（https://www.dasheng-group.com.cn/），直接下载招标文件。</w:t>
      </w:r>
    </w:p>
    <w:p>
      <w:pPr>
        <w:wordWrap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4.2售价：招标文件每套售价</w:t>
      </w:r>
      <w:r>
        <w:rPr>
          <w:rFonts w:hint="eastAsia" w:ascii="宋体" w:hAnsi="宋体" w:cs="宋体"/>
          <w:color w:val="auto"/>
          <w:kern w:val="0"/>
          <w:sz w:val="24"/>
          <w:highlight w:val="none"/>
          <w:u w:val="single"/>
        </w:rPr>
        <w:t>300元</w:t>
      </w:r>
      <w:r>
        <w:rPr>
          <w:rFonts w:hint="eastAsia" w:ascii="宋体" w:hAnsi="宋体" w:cs="宋体"/>
          <w:color w:val="auto"/>
          <w:kern w:val="0"/>
          <w:sz w:val="24"/>
          <w:highlight w:val="none"/>
        </w:rPr>
        <w:t>，报名时递交给采购代理机构，售后不退。</w:t>
      </w:r>
    </w:p>
    <w:p>
      <w:pPr>
        <w:wordWrap w:val="0"/>
        <w:adjustRightInd w:val="0"/>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kern w:val="0"/>
          <w:sz w:val="24"/>
          <w:highlight w:val="none"/>
        </w:rPr>
        <w:t>4.3报名方式：请有意参与本项目投标的供应商于</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08</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12</w:t>
      </w:r>
      <w:r>
        <w:rPr>
          <w:rFonts w:hint="eastAsia" w:ascii="宋体" w:hAnsi="宋体" w:cs="宋体"/>
          <w:b/>
          <w:bCs/>
          <w:color w:val="auto"/>
          <w:kern w:val="0"/>
          <w:sz w:val="24"/>
          <w:highlight w:val="none"/>
        </w:rPr>
        <w:t>日</w:t>
      </w:r>
      <w:r>
        <w:rPr>
          <w:rFonts w:hint="eastAsia" w:ascii="宋体" w:hAnsi="宋体" w:cs="宋体"/>
          <w:b/>
          <w:bCs/>
          <w:color w:val="auto"/>
          <w:kern w:val="0"/>
          <w:sz w:val="24"/>
          <w:highlight w:val="none"/>
          <w:lang w:val="en-US" w:eastAsia="zh-CN"/>
        </w:rPr>
        <w:t>12</w:t>
      </w:r>
      <w:r>
        <w:rPr>
          <w:rFonts w:hint="eastAsia" w:ascii="宋体" w:hAnsi="宋体" w:cs="宋体"/>
          <w:b/>
          <w:bCs/>
          <w:color w:val="auto"/>
          <w:kern w:val="0"/>
          <w:sz w:val="24"/>
          <w:highlight w:val="none"/>
        </w:rPr>
        <w:t>时</w:t>
      </w:r>
      <w:r>
        <w:rPr>
          <w:rFonts w:hint="eastAsia" w:ascii="宋体" w:hAnsi="宋体" w:cs="宋体"/>
          <w:b/>
          <w:bCs/>
          <w:color w:val="auto"/>
          <w:kern w:val="0"/>
          <w:sz w:val="24"/>
          <w:highlight w:val="none"/>
          <w:lang w:val="en-US" w:eastAsia="zh-CN"/>
        </w:rPr>
        <w:t>00</w:t>
      </w:r>
      <w:r>
        <w:rPr>
          <w:rFonts w:hint="eastAsia" w:ascii="宋体" w:hAnsi="宋体" w:cs="宋体"/>
          <w:b/>
          <w:bCs/>
          <w:color w:val="auto"/>
          <w:kern w:val="0"/>
          <w:sz w:val="24"/>
          <w:highlight w:val="none"/>
        </w:rPr>
        <w:t>分</w:t>
      </w:r>
      <w:r>
        <w:rPr>
          <w:rFonts w:hint="eastAsia" w:ascii="宋体" w:hAnsi="宋体" w:cs="宋体"/>
          <w:color w:val="auto"/>
          <w:kern w:val="0"/>
          <w:sz w:val="24"/>
          <w:highlight w:val="none"/>
        </w:rPr>
        <w:t>前联系代理机构报名</w:t>
      </w:r>
      <w:r>
        <w:rPr>
          <w:rFonts w:hint="eastAsia" w:ascii="宋体" w:hAnsi="宋体" w:cs="宋体"/>
          <w:b/>
          <w:bCs/>
          <w:color w:val="auto"/>
          <w:kern w:val="0"/>
          <w:sz w:val="24"/>
          <w:highlight w:val="none"/>
        </w:rPr>
        <w:t>（联系人：董安国，联系电话：18912299056，邮箱：812298892@qq.com）</w:t>
      </w:r>
      <w:r>
        <w:rPr>
          <w:rFonts w:hint="eastAsia" w:ascii="宋体" w:hAnsi="宋体" w:cs="宋体"/>
          <w:color w:val="auto"/>
          <w:kern w:val="0"/>
          <w:sz w:val="24"/>
          <w:highlight w:val="none"/>
        </w:rPr>
        <w:t>，未报名单位不得参加本项目的投标。</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5、投标文件的递交</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5.1投标文件递交的截止时间（投标截止时间，下同）为</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08</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12</w:t>
      </w:r>
      <w:r>
        <w:rPr>
          <w:rFonts w:hint="eastAsia" w:ascii="宋体" w:hAnsi="宋体" w:cs="宋体"/>
          <w:b/>
          <w:bCs/>
          <w:color w:val="auto"/>
          <w:kern w:val="0"/>
          <w:sz w:val="24"/>
          <w:highlight w:val="none"/>
        </w:rPr>
        <w:t>日</w:t>
      </w:r>
      <w:r>
        <w:rPr>
          <w:rFonts w:hint="eastAsia" w:ascii="宋体" w:hAnsi="宋体" w:cs="宋体"/>
          <w:b/>
          <w:bCs/>
          <w:color w:val="auto"/>
          <w:kern w:val="0"/>
          <w:sz w:val="24"/>
          <w:highlight w:val="none"/>
          <w:lang w:val="en-US" w:eastAsia="zh-CN"/>
        </w:rPr>
        <w:t>15</w:t>
      </w:r>
      <w:r>
        <w:rPr>
          <w:rFonts w:hint="eastAsia" w:ascii="宋体" w:hAnsi="宋体" w:cs="宋体"/>
          <w:b/>
          <w:bCs/>
          <w:color w:val="auto"/>
          <w:kern w:val="0"/>
          <w:sz w:val="24"/>
          <w:highlight w:val="none"/>
        </w:rPr>
        <w:t>时</w:t>
      </w:r>
      <w:r>
        <w:rPr>
          <w:rFonts w:hint="eastAsia" w:ascii="宋体" w:hAnsi="宋体" w:cs="宋体"/>
          <w:b/>
          <w:bCs/>
          <w:color w:val="auto"/>
          <w:kern w:val="0"/>
          <w:sz w:val="24"/>
          <w:highlight w:val="none"/>
          <w:lang w:val="en-US" w:eastAsia="zh-CN"/>
        </w:rPr>
        <w:t>00</w:t>
      </w:r>
      <w:r>
        <w:rPr>
          <w:rFonts w:hint="eastAsia" w:ascii="宋体" w:hAnsi="宋体" w:cs="宋体"/>
          <w:b/>
          <w:bCs/>
          <w:color w:val="auto"/>
          <w:kern w:val="0"/>
          <w:sz w:val="24"/>
          <w:highlight w:val="none"/>
        </w:rPr>
        <w:t>分</w:t>
      </w:r>
      <w:r>
        <w:rPr>
          <w:rFonts w:hint="eastAsia" w:ascii="宋体" w:hAnsi="宋体" w:cs="宋体"/>
          <w:color w:val="auto"/>
          <w:kern w:val="0"/>
          <w:sz w:val="24"/>
          <w:highlight w:val="none"/>
        </w:rPr>
        <w:t>，如有变动另行通知。逾期收到的响应文件将不予接受。</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开标地点：</w:t>
      </w:r>
      <w:r>
        <w:rPr>
          <w:rFonts w:hint="eastAsia" w:ascii="宋体" w:hAnsi="宋体" w:cs="宋体"/>
          <w:b/>
          <w:bCs/>
          <w:color w:val="auto"/>
          <w:kern w:val="0"/>
          <w:sz w:val="24"/>
          <w:highlight w:val="none"/>
          <w:u w:val="single"/>
        </w:rPr>
        <w:t>江苏大生集团有限公司研究院</w:t>
      </w:r>
      <w:r>
        <w:rPr>
          <w:rFonts w:hint="eastAsia" w:ascii="宋体" w:hAnsi="宋体" w:cs="宋体"/>
          <w:b/>
          <w:bCs/>
          <w:color w:val="auto"/>
          <w:kern w:val="0"/>
          <w:sz w:val="24"/>
          <w:highlight w:val="none"/>
          <w:u w:val="single"/>
          <w:lang w:val="en-US" w:eastAsia="zh-CN"/>
        </w:rPr>
        <w:t>三</w:t>
      </w:r>
      <w:r>
        <w:rPr>
          <w:rFonts w:hint="eastAsia" w:ascii="宋体" w:hAnsi="宋体" w:cs="宋体"/>
          <w:b/>
          <w:bCs/>
          <w:color w:val="auto"/>
          <w:kern w:val="0"/>
          <w:sz w:val="24"/>
          <w:highlight w:val="none"/>
          <w:u w:val="single"/>
        </w:rPr>
        <w:t>楼</w:t>
      </w:r>
      <w:r>
        <w:rPr>
          <w:rFonts w:hint="eastAsia" w:ascii="宋体" w:hAnsi="宋体" w:cs="宋体"/>
          <w:b/>
          <w:bCs/>
          <w:color w:val="auto"/>
          <w:kern w:val="0"/>
          <w:sz w:val="24"/>
          <w:highlight w:val="none"/>
          <w:u w:val="single"/>
          <w:lang w:val="en-US" w:eastAsia="zh-CN"/>
        </w:rPr>
        <w:t>310</w:t>
      </w:r>
      <w:r>
        <w:rPr>
          <w:rFonts w:hint="eastAsia" w:ascii="宋体" w:hAnsi="宋体" w:cs="宋体"/>
          <w:b/>
          <w:bCs/>
          <w:color w:val="auto"/>
          <w:kern w:val="0"/>
          <w:sz w:val="24"/>
          <w:highlight w:val="none"/>
          <w:u w:val="single"/>
        </w:rPr>
        <w:t>会议室（大生路1号）</w:t>
      </w:r>
      <w:r>
        <w:rPr>
          <w:rFonts w:hint="eastAsia" w:ascii="宋体" w:hAnsi="宋体" w:cs="宋体"/>
          <w:color w:val="auto"/>
          <w:kern w:val="0"/>
          <w:sz w:val="24"/>
          <w:highlight w:val="none"/>
        </w:rPr>
        <w:t>。</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5.2逾期送达的或者未送达指定地点的投标文件，招标人不予受理。</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6、发布公告的媒介</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本工程招标公告、招标文件、招标文件的澄清、修改、补充等资料的具体内容在</w:t>
      </w:r>
      <w:r>
        <w:rPr>
          <w:rFonts w:hint="eastAsia" w:ascii="宋体" w:hAnsi="宋体" w:cs="宋体"/>
          <w:color w:val="auto"/>
          <w:kern w:val="0"/>
          <w:sz w:val="24"/>
          <w:highlight w:val="none"/>
          <w:u w:val="single"/>
        </w:rPr>
        <w:t>江苏大生集团有限公司（https://www.dasheng-group.com.cn/）发布</w:t>
      </w:r>
      <w:r>
        <w:rPr>
          <w:rFonts w:hint="eastAsia" w:ascii="宋体" w:hAnsi="宋体" w:cs="宋体"/>
          <w:color w:val="auto"/>
          <w:kern w:val="0"/>
          <w:sz w:val="24"/>
          <w:highlight w:val="none"/>
        </w:rPr>
        <w:t>。</w:t>
      </w:r>
    </w:p>
    <w:p>
      <w:pPr>
        <w:numPr>
          <w:ilvl w:val="0"/>
          <w:numId w:val="1"/>
        </w:num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color w:val="auto"/>
          <w:kern w:val="0"/>
          <w:sz w:val="24"/>
          <w:highlight w:val="none"/>
        </w:rPr>
        <w:t>投标保证金的形式：</w:t>
      </w:r>
      <w:r>
        <w:rPr>
          <w:rFonts w:hint="eastAsia" w:ascii="宋体" w:hAnsi="宋体" w:cs="宋体"/>
          <w:b/>
          <w:bCs/>
          <w:color w:val="auto"/>
          <w:kern w:val="0"/>
          <w:sz w:val="24"/>
          <w:highlight w:val="none"/>
          <w:u w:val="single"/>
        </w:rPr>
        <w:t>现金，单独信封密封，与投标文件一并递交至招标代理机构经办人员，其他形式递交的投标保证金一律不予接受。</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投标保证金的金额：</w:t>
      </w:r>
      <w:r>
        <w:rPr>
          <w:rFonts w:hint="eastAsia" w:ascii="宋体" w:hAnsi="宋体" w:cs="宋体"/>
          <w:b/>
          <w:color w:val="auto"/>
          <w:kern w:val="0"/>
          <w:sz w:val="24"/>
          <w:highlight w:val="none"/>
          <w:u w:val="single"/>
        </w:rPr>
        <w:t>人民币贰仟元整/投标单位</w:t>
      </w:r>
      <w:r>
        <w:rPr>
          <w:rFonts w:hint="eastAsia" w:ascii="宋体" w:hAnsi="宋体" w:cs="宋体"/>
          <w:b/>
          <w:color w:val="auto"/>
          <w:kern w:val="0"/>
          <w:sz w:val="24"/>
          <w:highlight w:val="none"/>
        </w:rPr>
        <w:t>。</w:t>
      </w:r>
    </w:p>
    <w:p>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8、评标办法</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本工程采用经评审的</w:t>
      </w:r>
      <w:r>
        <w:rPr>
          <w:rFonts w:hint="eastAsia" w:ascii="宋体" w:hAnsi="宋体" w:cs="宋体"/>
          <w:b/>
          <w:bCs/>
          <w:color w:val="auto"/>
          <w:kern w:val="0"/>
          <w:sz w:val="24"/>
          <w:highlight w:val="none"/>
          <w:u w:val="single"/>
          <w:lang w:val="en-US" w:eastAsia="zh-CN"/>
        </w:rPr>
        <w:t>综合评估法</w:t>
      </w:r>
      <w:r>
        <w:rPr>
          <w:rFonts w:hint="eastAsia" w:ascii="宋体" w:hAnsi="宋体" w:cs="宋体"/>
          <w:color w:val="auto"/>
          <w:kern w:val="0"/>
          <w:sz w:val="24"/>
          <w:highlight w:val="none"/>
        </w:rPr>
        <w:t>，且采用资格后审，具体详见招标文件第二章评标办法。</w:t>
      </w:r>
    </w:p>
    <w:p>
      <w:pPr>
        <w:adjustRightInd w:val="0"/>
        <w:snapToGrid w:val="0"/>
        <w:spacing w:line="360" w:lineRule="auto"/>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招标人</w:t>
            </w:r>
          </w:p>
        </w:tc>
        <w:tc>
          <w:tcPr>
            <w:tcW w:w="3243"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江苏南通二棉有限公司</w:t>
            </w:r>
          </w:p>
        </w:tc>
        <w:tc>
          <w:tcPr>
            <w:tcW w:w="1704"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招标代理机构</w:t>
            </w:r>
          </w:p>
        </w:tc>
        <w:tc>
          <w:tcPr>
            <w:tcW w:w="3275"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宏信天德工程顾问有限公司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地  址</w:t>
            </w:r>
          </w:p>
        </w:tc>
        <w:tc>
          <w:tcPr>
            <w:tcW w:w="3243"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江苏省南通市崇川区大生1号</w:t>
            </w:r>
          </w:p>
        </w:tc>
        <w:tc>
          <w:tcPr>
            <w:tcW w:w="1704"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地  址</w:t>
            </w:r>
          </w:p>
        </w:tc>
        <w:tc>
          <w:tcPr>
            <w:tcW w:w="3275"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eastAsia="宋体" w:cs="宋体"/>
                <w:color w:val="auto"/>
                <w:kern w:val="0"/>
                <w:sz w:val="24"/>
                <w:highlight w:val="none"/>
                <w:lang w:eastAsia="zh-CN"/>
              </w:rPr>
            </w:pPr>
            <w:r>
              <w:rPr>
                <w:rFonts w:hint="eastAsia"/>
                <w:color w:val="auto"/>
                <w:sz w:val="24"/>
                <w:highlight w:val="none"/>
                <w:lang w:eastAsia="zh-CN"/>
              </w:rPr>
              <w:t>南通市崇川区北大街108号万科壹中心8楼北区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联系人</w:t>
            </w:r>
          </w:p>
        </w:tc>
        <w:tc>
          <w:tcPr>
            <w:tcW w:w="3243"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杨工</w:t>
            </w:r>
          </w:p>
        </w:tc>
        <w:tc>
          <w:tcPr>
            <w:tcW w:w="1704"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联系人</w:t>
            </w:r>
          </w:p>
        </w:tc>
        <w:tc>
          <w:tcPr>
            <w:tcW w:w="3275"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董安国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  话</w:t>
            </w:r>
          </w:p>
        </w:tc>
        <w:tc>
          <w:tcPr>
            <w:tcW w:w="3243"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18862963998</w:t>
            </w:r>
          </w:p>
        </w:tc>
        <w:tc>
          <w:tcPr>
            <w:tcW w:w="1704"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  话</w:t>
            </w:r>
          </w:p>
        </w:tc>
        <w:tc>
          <w:tcPr>
            <w:tcW w:w="3275"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18912299056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电子邮箱</w:t>
            </w:r>
          </w:p>
        </w:tc>
        <w:tc>
          <w:tcPr>
            <w:tcW w:w="3243" w:type="dxa"/>
            <w:noWrap/>
            <w:tcMar>
              <w:top w:w="15" w:type="dxa"/>
              <w:left w:w="15" w:type="dxa"/>
              <w:bottom w:w="15" w:type="dxa"/>
              <w:right w:w="15" w:type="dxa"/>
            </w:tcMar>
            <w:vAlign w:val="center"/>
          </w:tcPr>
          <w:p>
            <w:pPr>
              <w:tabs>
                <w:tab w:val="left" w:pos="431"/>
              </w:tabs>
              <w:adjustRightInd w:val="0"/>
              <w:snapToGrid w:val="0"/>
              <w:spacing w:line="360" w:lineRule="auto"/>
              <w:ind w:hanging="420"/>
              <w:jc w:val="left"/>
              <w:rPr>
                <w:rFonts w:hint="eastAsia"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rPr>
              <w:tab/>
            </w:r>
            <w:r>
              <w:rPr>
                <w:rFonts w:hint="eastAsia" w:ascii="宋体" w:hAnsi="宋体" w:cs="宋体"/>
                <w:color w:val="auto"/>
                <w:kern w:val="0"/>
                <w:sz w:val="24"/>
                <w:highlight w:val="none"/>
              </w:rPr>
              <w:t>/</w:t>
            </w:r>
          </w:p>
        </w:tc>
        <w:tc>
          <w:tcPr>
            <w:tcW w:w="1704" w:type="dxa"/>
            <w:noWrap/>
            <w:tcMar>
              <w:top w:w="15" w:type="dxa"/>
              <w:left w:w="15" w:type="dxa"/>
              <w:bottom w:w="15" w:type="dxa"/>
              <w:right w:w="15" w:type="dxa"/>
            </w:tcMar>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电子邮箱</w:t>
            </w:r>
          </w:p>
        </w:tc>
        <w:tc>
          <w:tcPr>
            <w:tcW w:w="3275" w:type="dxa"/>
            <w:noWrap/>
            <w:tcMar>
              <w:top w:w="15" w:type="dxa"/>
              <w:left w:w="15" w:type="dxa"/>
              <w:bottom w:w="15" w:type="dxa"/>
              <w:right w:w="15" w:type="dxa"/>
            </w:tcMar>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812298892@qq.com</w:t>
            </w:r>
          </w:p>
        </w:tc>
      </w:tr>
    </w:tbl>
    <w:p>
      <w:pPr>
        <w:adjustRightInd w:val="0"/>
        <w:snapToGrid w:val="0"/>
        <w:spacing w:line="360" w:lineRule="auto"/>
        <w:rPr>
          <w:rFonts w:hint="eastAsia" w:ascii="宋体" w:hAnsi="宋体" w:cs="宋体"/>
          <w:color w:val="auto"/>
          <w:kern w:val="0"/>
          <w:highlight w:val="none"/>
        </w:rPr>
      </w:pPr>
    </w:p>
    <w:p>
      <w:pPr>
        <w:pStyle w:val="3"/>
        <w:adjustRightInd w:val="0"/>
        <w:snapToGrid w:val="0"/>
        <w:rPr>
          <w:rFonts w:hint="eastAsia" w:ascii="宋体" w:hAnsi="宋体" w:cs="宋体"/>
          <w:color w:val="auto"/>
          <w:kern w:val="0"/>
          <w:highlight w:val="none"/>
        </w:rPr>
      </w:pPr>
      <w:bookmarkStart w:id="6" w:name="_Toc48207447"/>
      <w:r>
        <w:rPr>
          <w:rFonts w:hint="eastAsia" w:ascii="宋体" w:hAnsi="宋体" w:cs="宋体"/>
          <w:color w:val="auto"/>
          <w:kern w:val="0"/>
          <w:highlight w:val="none"/>
        </w:rPr>
        <w:br w:type="page"/>
      </w:r>
      <w:r>
        <w:rPr>
          <w:rFonts w:hint="eastAsia" w:ascii="宋体" w:hAnsi="宋体" w:cs="宋体"/>
          <w:color w:val="auto"/>
          <w:kern w:val="0"/>
          <w:highlight w:val="none"/>
        </w:rPr>
        <w:t>第一章 投标须知及投标须知前附表</w:t>
      </w:r>
      <w:bookmarkEnd w:id="6"/>
      <w:bookmarkStart w:id="7" w:name="_Toc427765912"/>
      <w:bookmarkStart w:id="8" w:name="_Toc520971065"/>
    </w:p>
    <w:p>
      <w:pPr>
        <w:pStyle w:val="4"/>
        <w:adjustRightInd w:val="0"/>
        <w:snapToGrid w:val="0"/>
        <w:rPr>
          <w:rFonts w:hint="eastAsia" w:ascii="宋体" w:hAnsi="宋体" w:cs="宋体"/>
          <w:color w:val="auto"/>
          <w:kern w:val="0"/>
          <w:highlight w:val="none"/>
        </w:rPr>
      </w:pPr>
      <w:bookmarkStart w:id="9" w:name="_Toc48207448"/>
      <w:r>
        <w:rPr>
          <w:rFonts w:hint="eastAsia" w:ascii="宋体" w:hAnsi="宋体" w:cs="宋体"/>
          <w:color w:val="auto"/>
          <w:kern w:val="0"/>
          <w:highlight w:val="none"/>
        </w:rPr>
        <w:t>一、投标须知前附表</w:t>
      </w:r>
      <w:bookmarkEnd w:id="7"/>
      <w:bookmarkEnd w:id="8"/>
      <w:bookmarkEnd w:id="9"/>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602"/>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项号</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条款号</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内容</w:t>
            </w:r>
          </w:p>
        </w:tc>
        <w:tc>
          <w:tcPr>
            <w:tcW w:w="619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工程名称</w:t>
            </w:r>
          </w:p>
        </w:tc>
        <w:tc>
          <w:tcPr>
            <w:tcW w:w="6194" w:type="dxa"/>
            <w:vAlign w:val="center"/>
          </w:tcPr>
          <w:p>
            <w:pPr>
              <w:adjustRightInd w:val="0"/>
              <w:snapToGrid w:val="0"/>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二棉厂区绿化工程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tcBorders>
              <w:bottom w:val="single" w:color="auto" w:sz="4" w:space="0"/>
            </w:tcBorders>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建设地点</w:t>
            </w:r>
          </w:p>
        </w:tc>
        <w:tc>
          <w:tcPr>
            <w:tcW w:w="6194" w:type="dxa"/>
            <w:tcBorders>
              <w:bottom w:val="single" w:color="auto" w:sz="4" w:space="0"/>
            </w:tcBorders>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江苏省南通市崇川区大生1号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3</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tcBorders>
              <w:top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建设规模</w:t>
            </w:r>
          </w:p>
        </w:tc>
        <w:tc>
          <w:tcPr>
            <w:tcW w:w="61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约</w:t>
            </w:r>
            <w:r>
              <w:rPr>
                <w:rFonts w:hint="eastAsia" w:ascii="宋体" w:hAnsi="宋体" w:cs="宋体"/>
                <w:b/>
                <w:bCs/>
                <w:color w:val="auto"/>
                <w:kern w:val="0"/>
                <w:sz w:val="24"/>
                <w:highlight w:val="none"/>
                <w:lang w:val="en-US" w:eastAsia="zh-CN"/>
              </w:rPr>
              <w:t>35</w:t>
            </w:r>
            <w:r>
              <w:rPr>
                <w:rFonts w:hint="eastAsia" w:ascii="宋体" w:hAnsi="宋体" w:cs="宋体"/>
                <w:b/>
                <w:bCs/>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4</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tcBorders>
              <w:top w:val="single" w:color="auto" w:sz="4" w:space="0"/>
            </w:tcBorders>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承包方式</w:t>
            </w:r>
          </w:p>
        </w:tc>
        <w:tc>
          <w:tcPr>
            <w:tcW w:w="6194" w:type="dxa"/>
            <w:tcBorders>
              <w:top w:val="single" w:color="auto" w:sz="4" w:space="0"/>
            </w:tcBorders>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5</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质量标准</w:t>
            </w:r>
          </w:p>
        </w:tc>
        <w:tc>
          <w:tcPr>
            <w:tcW w:w="6194" w:type="dxa"/>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6</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工期要求</w:t>
            </w:r>
          </w:p>
        </w:tc>
        <w:tc>
          <w:tcPr>
            <w:tcW w:w="6194" w:type="dxa"/>
            <w:vAlign w:val="center"/>
          </w:tcPr>
          <w:p>
            <w:pPr>
              <w:pStyle w:val="55"/>
              <w:widowControl w:val="0"/>
              <w:shd w:val="clear" w:color="auto" w:fill="FFFFFF"/>
              <w:adjustRightInd w:val="0"/>
              <w:snapToGrid w:val="0"/>
              <w:spacing w:before="60" w:line="360" w:lineRule="auto"/>
              <w:textAlignment w:val="baseline"/>
              <w:rPr>
                <w:rFonts w:hint="eastAsia" w:cs="宋体"/>
                <w:color w:val="auto"/>
                <w:highlight w:val="none"/>
              </w:rPr>
            </w:pPr>
            <w:r>
              <w:rPr>
                <w:rFonts w:hint="eastAsia" w:cs="宋体"/>
                <w:b/>
                <w:color w:val="auto"/>
                <w:highlight w:val="none"/>
              </w:rPr>
              <w:t>总工期</w:t>
            </w:r>
            <w:r>
              <w:rPr>
                <w:rFonts w:hint="eastAsia" w:cs="宋体"/>
                <w:b/>
                <w:color w:val="auto"/>
                <w:highlight w:val="none"/>
                <w:lang w:val="en-US" w:eastAsia="zh-CN"/>
              </w:rPr>
              <w:t>15</w:t>
            </w:r>
            <w:r>
              <w:rPr>
                <w:rFonts w:hint="eastAsia" w:cs="宋体"/>
                <w:b/>
                <w:color w:val="auto"/>
                <w:highlight w:val="none"/>
              </w:rPr>
              <w:t>日历天，具体开工日期以招标人书面开工通知为准。如部分工程因招标人原因暂停施工，相应工期顺延。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7</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6194" w:type="dxa"/>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8</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1.2</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招标范围</w:t>
            </w:r>
          </w:p>
        </w:tc>
        <w:tc>
          <w:tcPr>
            <w:tcW w:w="6194" w:type="dxa"/>
            <w:vAlign w:val="center"/>
          </w:tcPr>
          <w:p>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t>工程量清单的内容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9</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16</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工程报价方式</w:t>
            </w:r>
          </w:p>
        </w:tc>
        <w:tc>
          <w:tcPr>
            <w:tcW w:w="6194" w:type="dxa"/>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按工程量清单计价固定</w:t>
            </w:r>
            <w:r>
              <w:rPr>
                <w:rFonts w:hint="eastAsia" w:ascii="宋体" w:hAnsi="宋体" w:cs="宋体"/>
                <w:color w:val="auto"/>
                <w:kern w:val="0"/>
                <w:sz w:val="24"/>
                <w:highlight w:val="none"/>
                <w:lang w:val="en-US" w:eastAsia="zh-CN"/>
              </w:rPr>
              <w:t>单价</w:t>
            </w:r>
            <w:r>
              <w:rPr>
                <w:rFonts w:hint="eastAsia" w:ascii="宋体" w:hAnsi="宋体" w:cs="宋体"/>
                <w:color w:val="auto"/>
                <w:kern w:val="0"/>
                <w:sz w:val="24"/>
                <w:highlight w:val="none"/>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10</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13</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投标有效期</w:t>
            </w:r>
          </w:p>
        </w:tc>
        <w:tc>
          <w:tcPr>
            <w:tcW w:w="6194" w:type="dxa"/>
            <w:vAlign w:val="center"/>
          </w:tcPr>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14.1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投标担保金额</w:t>
            </w:r>
          </w:p>
        </w:tc>
        <w:tc>
          <w:tcPr>
            <w:tcW w:w="6194" w:type="dxa"/>
            <w:vAlign w:val="center"/>
          </w:tcPr>
          <w:p>
            <w:pPr>
              <w:adjustRightInd w:val="0"/>
              <w:snapToGrid w:val="0"/>
              <w:spacing w:line="360" w:lineRule="auto"/>
              <w:rPr>
                <w:rFonts w:hint="eastAsia" w:ascii="宋体" w:hAnsi="宋体" w:cs="宋体"/>
                <w:b/>
                <w:bCs/>
                <w:color w:val="auto"/>
                <w:kern w:val="0"/>
                <w:sz w:val="24"/>
                <w:highlight w:val="none"/>
                <w:u w:val="single"/>
              </w:rPr>
            </w:pPr>
            <w:r>
              <w:rPr>
                <w:rFonts w:hint="eastAsia" w:ascii="宋体" w:hAnsi="宋体" w:cs="宋体"/>
                <w:b/>
                <w:color w:val="auto"/>
                <w:kern w:val="0"/>
                <w:sz w:val="24"/>
                <w:highlight w:val="none"/>
              </w:rPr>
              <w:t>投标保证金的形式：</w:t>
            </w:r>
            <w:r>
              <w:rPr>
                <w:rFonts w:hint="eastAsia" w:ascii="宋体" w:hAnsi="宋体" w:cs="宋体"/>
                <w:b/>
                <w:bCs/>
                <w:color w:val="auto"/>
                <w:kern w:val="0"/>
                <w:sz w:val="24"/>
                <w:highlight w:val="none"/>
                <w:u w:val="single"/>
              </w:rPr>
              <w:t>现金，单独信封密封，与投标文件一并递交至招标代理机构经办人员，其他形式递交的投标保证金一律不予接受。</w:t>
            </w:r>
          </w:p>
          <w:p>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b/>
                <w:color w:val="auto"/>
                <w:kern w:val="0"/>
                <w:sz w:val="24"/>
                <w:highlight w:val="none"/>
              </w:rPr>
              <w:t>投标保证金的金额：</w:t>
            </w:r>
            <w:r>
              <w:rPr>
                <w:rFonts w:hint="eastAsia" w:ascii="宋体" w:hAnsi="宋体" w:cs="宋体"/>
                <w:b/>
                <w:color w:val="auto"/>
                <w:kern w:val="0"/>
                <w:sz w:val="24"/>
                <w:highlight w:val="none"/>
                <w:u w:val="single"/>
              </w:rPr>
              <w:t>人民币贰仟元整/投标单位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12</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4</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踏勘现场</w:t>
            </w:r>
          </w:p>
        </w:tc>
        <w:tc>
          <w:tcPr>
            <w:tcW w:w="6194" w:type="dxa"/>
            <w:vAlign w:val="center"/>
          </w:tcPr>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由各投标单位自行踏勘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13</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招标控制价</w:t>
            </w:r>
          </w:p>
        </w:tc>
        <w:tc>
          <w:tcPr>
            <w:tcW w:w="6194" w:type="dxa"/>
            <w:vAlign w:val="center"/>
          </w:tcPr>
          <w:p>
            <w:pPr>
              <w:adjustRightInd w:val="0"/>
              <w:snapToGrid w:val="0"/>
              <w:spacing w:line="360" w:lineRule="auto"/>
              <w:rPr>
                <w:rFonts w:hint="eastAsia"/>
                <w:color w:val="auto"/>
                <w:highlight w:val="none"/>
                <w:lang w:eastAsia="zh-CN"/>
              </w:rPr>
            </w:pPr>
            <w:r>
              <w:rPr>
                <w:rFonts w:hint="eastAsia" w:ascii="宋体" w:hAnsi="宋体" w:cs="宋体"/>
                <w:b/>
                <w:color w:val="auto"/>
                <w:kern w:val="0"/>
                <w:sz w:val="24"/>
                <w:highlight w:val="none"/>
                <w:u w:val="none"/>
                <w:lang w:val="en-US" w:eastAsia="zh-CN"/>
              </w:rPr>
              <w:t xml:space="preserve"> 349271.15元（其中：暂列金额10000.00元）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14</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18.2</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招标控制价编制依据</w:t>
            </w:r>
          </w:p>
        </w:tc>
        <w:tc>
          <w:tcPr>
            <w:tcW w:w="6194" w:type="dxa"/>
            <w:vAlign w:val="center"/>
          </w:tcPr>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w:t>
            </w:r>
            <w:r>
              <w:rPr>
                <w:rFonts w:hint="eastAsia" w:ascii="宋体" w:hAnsi="宋体" w:cs="宋体"/>
                <w:bCs/>
                <w:color w:val="auto"/>
                <w:kern w:val="0"/>
                <w:sz w:val="24"/>
                <w:highlight w:val="none"/>
              </w:rPr>
              <w:t>本工程施工图及其工程量清单；</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rPr>
              <w:t>《建设工程工程量清单计价规范》（GB50500-2013）；</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rPr>
              <w:t>《市政工程工程量计算规范》（GB50857-2013）、《园林绿化工程工程量计算规范》（GB50858-2013）；</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4、</w:t>
            </w:r>
            <w:r>
              <w:rPr>
                <w:rFonts w:hint="eastAsia" w:ascii="宋体" w:hAnsi="宋体" w:cs="宋体"/>
                <w:bCs/>
                <w:color w:val="auto"/>
                <w:kern w:val="0"/>
                <w:sz w:val="24"/>
                <w:highlight w:val="none"/>
              </w:rPr>
              <w:t>《江苏省市政工程计价定额》（2014年）、《江苏省仿古建筑与园林工程计价表》（2007版）；</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5、</w:t>
            </w:r>
            <w:r>
              <w:rPr>
                <w:rFonts w:hint="eastAsia" w:ascii="宋体" w:hAnsi="宋体" w:cs="宋体"/>
                <w:bCs/>
                <w:color w:val="auto"/>
                <w:kern w:val="0"/>
                <w:sz w:val="24"/>
                <w:highlight w:val="none"/>
              </w:rPr>
              <w:t>《江苏省建设工程费用定额》（2014年）；</w:t>
            </w:r>
          </w:p>
          <w:p>
            <w:pPr>
              <w:adjustRightInd w:val="0"/>
              <w:snapToGrid w:val="0"/>
              <w:spacing w:line="360" w:lineRule="auto"/>
              <w:rPr>
                <w:rFonts w:hint="eastAsia" w:ascii="宋体" w:hAnsi="宋体" w:eastAsia="宋体" w:cs="宋体"/>
                <w:bCs/>
                <w:color w:val="auto"/>
                <w:kern w:val="0"/>
                <w:sz w:val="24"/>
                <w:highlight w:val="none"/>
                <w:lang w:eastAsia="zh-CN"/>
              </w:rPr>
            </w:pP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人工工资根据（苏建函价〔2025〕66 号）</w:t>
            </w:r>
            <w:r>
              <w:rPr>
                <w:rFonts w:hint="eastAsia" w:ascii="宋体" w:hAnsi="宋体" w:cs="宋体"/>
                <w:bCs/>
                <w:color w:val="auto"/>
                <w:kern w:val="0"/>
                <w:sz w:val="24"/>
                <w:highlight w:val="none"/>
                <w:lang w:eastAsia="zh-CN"/>
              </w:rPr>
              <w:t>；</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7、</w:t>
            </w:r>
            <w:r>
              <w:rPr>
                <w:rFonts w:hint="eastAsia" w:ascii="宋体" w:hAnsi="宋体" w:cs="宋体"/>
                <w:bCs/>
                <w:color w:val="auto"/>
                <w:kern w:val="0"/>
                <w:sz w:val="24"/>
                <w:highlight w:val="none"/>
              </w:rPr>
              <w:t>《省住房和城乡建设厅关于建筑业实施营改增后江苏省建设工程计价依据调整的通知》(苏建价[2016]154号)、《省住房城乡建设厅关于建筑业增值税计价政策调整的通知》苏建价【2018】298号文、《省住房城乡建设厅关于调整建设工程计价增值税税率的通知》苏建函价〔2019〕178号；征税方法采用一般计税法；</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8、</w:t>
            </w:r>
            <w:r>
              <w:rPr>
                <w:rFonts w:hint="eastAsia" w:ascii="宋体" w:hAnsi="宋体" w:cs="宋体"/>
                <w:bCs/>
                <w:color w:val="auto"/>
                <w:kern w:val="0"/>
                <w:sz w:val="24"/>
                <w:highlight w:val="none"/>
              </w:rPr>
              <w:t>材料价格参照《南通建设工程造价信息》2025年第</w:t>
            </w: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期中的材料信息价，若信息价中无材料信息价的材料的价格，则按市场价执行；</w:t>
            </w:r>
          </w:p>
          <w:p>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rPr>
              <w:t>9、省市现行各类造价文件、相关规范、标准图集及技术规范。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15</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18.3</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公布的招标控制价文件组成</w:t>
            </w:r>
          </w:p>
        </w:tc>
        <w:tc>
          <w:tcPr>
            <w:tcW w:w="6194" w:type="dxa"/>
            <w:vAlign w:val="center"/>
          </w:tcPr>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费用汇总表、清单与计价表、相关说明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16</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投标文件份数</w:t>
            </w:r>
          </w:p>
        </w:tc>
        <w:tc>
          <w:tcPr>
            <w:tcW w:w="6194" w:type="dxa"/>
            <w:vAlign w:val="center"/>
          </w:tcPr>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投标文件分</w:t>
            </w:r>
            <w:r>
              <w:rPr>
                <w:rFonts w:hint="eastAsia" w:ascii="宋体" w:hAnsi="宋体" w:cs="宋体"/>
                <w:b/>
                <w:bCs/>
                <w:color w:val="auto"/>
                <w:kern w:val="0"/>
                <w:sz w:val="24"/>
                <w:highlight w:val="none"/>
                <w:u w:val="single"/>
              </w:rPr>
              <w:t>资格审查文件、</w:t>
            </w:r>
            <w:r>
              <w:rPr>
                <w:rFonts w:hint="eastAsia" w:ascii="宋体" w:hAnsi="宋体" w:cs="宋体"/>
                <w:b/>
                <w:bCs/>
                <w:color w:val="auto"/>
                <w:kern w:val="0"/>
                <w:sz w:val="24"/>
                <w:highlight w:val="none"/>
                <w:u w:val="single"/>
                <w:lang w:val="en-US" w:eastAsia="zh-CN"/>
              </w:rPr>
              <w:t>商务技术</w:t>
            </w:r>
            <w:r>
              <w:rPr>
                <w:rFonts w:hint="eastAsia" w:ascii="宋体" w:hAnsi="宋体" w:cs="宋体"/>
                <w:b/>
                <w:bCs/>
                <w:color w:val="auto"/>
                <w:kern w:val="0"/>
                <w:sz w:val="24"/>
                <w:highlight w:val="none"/>
                <w:u w:val="single"/>
              </w:rPr>
              <w:t>文件</w:t>
            </w:r>
            <w:r>
              <w:rPr>
                <w:rFonts w:hint="eastAsia" w:ascii="宋体" w:hAnsi="宋体" w:cs="宋体"/>
                <w:b/>
                <w:bCs/>
                <w:color w:val="auto"/>
                <w:kern w:val="0"/>
                <w:sz w:val="24"/>
                <w:highlight w:val="none"/>
                <w:u w:val="single"/>
                <w:lang w:eastAsia="zh-CN"/>
              </w:rPr>
              <w:t>、报价</w:t>
            </w:r>
            <w:r>
              <w:rPr>
                <w:rFonts w:hint="eastAsia" w:ascii="宋体" w:hAnsi="宋体" w:cs="宋体"/>
                <w:b/>
                <w:bCs/>
                <w:color w:val="auto"/>
                <w:kern w:val="0"/>
                <w:sz w:val="24"/>
                <w:highlight w:val="none"/>
                <w:u w:val="single"/>
                <w:lang w:val="en-US" w:eastAsia="zh-CN"/>
              </w:rPr>
              <w:t>文件、电子投标文件</w:t>
            </w:r>
            <w:r>
              <w:rPr>
                <w:rFonts w:hint="eastAsia" w:ascii="宋体" w:hAnsi="宋体" w:cs="宋体"/>
                <w:b w:val="0"/>
                <w:bCs w:val="0"/>
                <w:color w:val="auto"/>
                <w:kern w:val="0"/>
                <w:sz w:val="24"/>
                <w:highlight w:val="none"/>
                <w:u w:val="none"/>
                <w:lang w:val="en-US" w:eastAsia="zh-CN"/>
              </w:rPr>
              <w:t>四</w:t>
            </w:r>
            <w:r>
              <w:rPr>
                <w:rFonts w:hint="eastAsia" w:ascii="宋体" w:hAnsi="宋体" w:cs="宋体"/>
                <w:color w:val="auto"/>
                <w:kern w:val="0"/>
                <w:sz w:val="24"/>
                <w:highlight w:val="none"/>
              </w:rPr>
              <w:t>部分。</w:t>
            </w:r>
            <w:r>
              <w:rPr>
                <w:rFonts w:hint="eastAsia" w:ascii="宋体" w:hAnsi="宋体" w:eastAsia="宋体" w:cs="宋体"/>
                <w:b/>
                <w:bCs/>
                <w:color w:val="auto"/>
                <w:spacing w:val="0"/>
                <w:w w:val="100"/>
                <w:kern w:val="0"/>
                <w:sz w:val="24"/>
                <w:highlight w:val="none"/>
              </w:rPr>
              <w:t>投标供应商应准备</w:t>
            </w:r>
            <w:r>
              <w:rPr>
                <w:rFonts w:hint="eastAsia" w:ascii="宋体" w:hAnsi="宋体" w:eastAsia="宋体" w:cs="宋体"/>
                <w:b/>
                <w:bCs/>
                <w:color w:val="auto"/>
                <w:spacing w:val="0"/>
                <w:w w:val="100"/>
                <w:kern w:val="0"/>
                <w:sz w:val="24"/>
                <w:highlight w:val="none"/>
                <w:u w:val="single"/>
              </w:rPr>
              <w:t xml:space="preserve"> 叁 </w:t>
            </w:r>
            <w:r>
              <w:rPr>
                <w:rFonts w:hint="eastAsia" w:ascii="宋体" w:hAnsi="宋体" w:eastAsia="宋体" w:cs="宋体"/>
                <w:b/>
                <w:bCs/>
                <w:color w:val="auto"/>
                <w:spacing w:val="0"/>
                <w:w w:val="100"/>
                <w:kern w:val="0"/>
                <w:sz w:val="24"/>
                <w:highlight w:val="none"/>
              </w:rPr>
              <w:t>份完整的“资格审查文件”、“商务技术文件”、“报价文件”，其中正本</w:t>
            </w:r>
            <w:r>
              <w:rPr>
                <w:rFonts w:hint="eastAsia" w:ascii="宋体" w:hAnsi="宋体" w:eastAsia="宋体" w:cs="宋体"/>
                <w:b/>
                <w:bCs/>
                <w:color w:val="auto"/>
                <w:spacing w:val="0"/>
                <w:w w:val="100"/>
                <w:kern w:val="0"/>
                <w:sz w:val="24"/>
                <w:highlight w:val="none"/>
                <w:u w:val="single"/>
              </w:rPr>
              <w:t xml:space="preserve"> 壹 </w:t>
            </w:r>
            <w:r>
              <w:rPr>
                <w:rFonts w:hint="eastAsia" w:ascii="宋体" w:hAnsi="宋体" w:eastAsia="宋体" w:cs="宋体"/>
                <w:b/>
                <w:bCs/>
                <w:color w:val="auto"/>
                <w:spacing w:val="0"/>
                <w:w w:val="100"/>
                <w:kern w:val="0"/>
                <w:sz w:val="24"/>
                <w:highlight w:val="none"/>
              </w:rPr>
              <w:t>份，副本</w:t>
            </w:r>
            <w:r>
              <w:rPr>
                <w:rFonts w:hint="eastAsia" w:ascii="宋体" w:hAnsi="宋体" w:eastAsia="宋体" w:cs="宋体"/>
                <w:b/>
                <w:bCs/>
                <w:color w:val="auto"/>
                <w:spacing w:val="0"/>
                <w:w w:val="100"/>
                <w:kern w:val="0"/>
                <w:sz w:val="24"/>
                <w:highlight w:val="none"/>
                <w:u w:val="single"/>
              </w:rPr>
              <w:t xml:space="preserve"> 贰 </w:t>
            </w:r>
            <w:r>
              <w:rPr>
                <w:rFonts w:hint="eastAsia" w:ascii="宋体" w:hAnsi="宋体" w:eastAsia="宋体" w:cs="宋体"/>
                <w:b/>
                <w:bCs/>
                <w:color w:val="auto"/>
                <w:spacing w:val="0"/>
                <w:w w:val="100"/>
                <w:kern w:val="0"/>
                <w:sz w:val="24"/>
                <w:highlight w:val="none"/>
              </w:rPr>
              <w:t>份，并标明“正本”或“副本”字样，若有差异，概以“正本”为准。</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电子投标文件</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只需提供</w:t>
            </w:r>
            <w:r>
              <w:rPr>
                <w:rFonts w:hint="eastAsia" w:ascii="宋体" w:hAnsi="宋体" w:eastAsia="宋体" w:cs="宋体"/>
                <w:b/>
                <w:bCs/>
                <w:color w:val="auto"/>
                <w:spacing w:val="0"/>
                <w:w w:val="100"/>
                <w:kern w:val="0"/>
                <w:sz w:val="24"/>
                <w:highlight w:val="none"/>
                <w:u w:val="single"/>
              </w:rPr>
              <w:t>壹份</w:t>
            </w:r>
            <w:r>
              <w:rPr>
                <w:rFonts w:hint="eastAsia" w:ascii="宋体" w:hAnsi="宋体" w:eastAsia="宋体" w:cs="宋体"/>
                <w:b/>
                <w:bCs/>
                <w:color w:val="auto"/>
                <w:spacing w:val="0"/>
                <w:w w:val="100"/>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17</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21</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投标文件提交地点及截止时间</w:t>
            </w:r>
          </w:p>
        </w:tc>
        <w:tc>
          <w:tcPr>
            <w:tcW w:w="6194" w:type="dxa"/>
            <w:vAlign w:val="center"/>
          </w:tcPr>
          <w:p>
            <w:pPr>
              <w:adjustRightInd w:val="0"/>
              <w:snapToGrid w:val="0"/>
              <w:spacing w:line="360" w:lineRule="auto"/>
              <w:rPr>
                <w:rFonts w:hint="eastAsia" w:ascii="宋体" w:hAnsi="宋体" w:cs="宋体"/>
                <w:b/>
                <w:bCs/>
                <w:color w:val="auto"/>
                <w:kern w:val="0"/>
                <w:sz w:val="24"/>
                <w:highlight w:val="none"/>
                <w:u w:val="single"/>
              </w:rPr>
            </w:pPr>
            <w:r>
              <w:rPr>
                <w:rFonts w:hint="eastAsia" w:ascii="宋体" w:hAnsi="宋体" w:cs="宋体"/>
                <w:color w:val="auto"/>
                <w:kern w:val="0"/>
                <w:sz w:val="24"/>
                <w:highlight w:val="none"/>
              </w:rPr>
              <w:t>截止时间：</w:t>
            </w:r>
            <w:r>
              <w:rPr>
                <w:rFonts w:hint="eastAsia" w:ascii="宋体" w:hAnsi="宋体" w:cs="宋体"/>
                <w:b/>
                <w:bCs/>
                <w:color w:val="auto"/>
                <w:kern w:val="0"/>
                <w:sz w:val="24"/>
                <w:highlight w:val="none"/>
                <w:u w:val="single"/>
              </w:rPr>
              <w:t>202</w:t>
            </w:r>
            <w:r>
              <w:rPr>
                <w:rFonts w:hint="eastAsia" w:ascii="宋体" w:hAnsi="宋体"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r>
              <w:rPr>
                <w:rFonts w:hint="eastAsia" w:ascii="宋体" w:hAnsi="宋体" w:cs="宋体"/>
                <w:b/>
                <w:bCs/>
                <w:color w:val="auto"/>
                <w:kern w:val="0"/>
                <w:sz w:val="24"/>
                <w:highlight w:val="none"/>
                <w:u w:val="single"/>
                <w:lang w:val="en-US" w:eastAsia="zh-CN"/>
              </w:rPr>
              <w:t>08</w:t>
            </w:r>
            <w:r>
              <w:rPr>
                <w:rFonts w:hint="eastAsia" w:ascii="宋体" w:hAnsi="宋体" w:cs="宋体"/>
                <w:b/>
                <w:bCs/>
                <w:color w:val="auto"/>
                <w:kern w:val="0"/>
                <w:sz w:val="24"/>
                <w:highlight w:val="none"/>
                <w:u w:val="single"/>
              </w:rPr>
              <w:t>月</w:t>
            </w:r>
            <w:r>
              <w:rPr>
                <w:rFonts w:hint="eastAsia" w:ascii="宋体" w:hAnsi="宋体" w:cs="宋体"/>
                <w:b/>
                <w:bCs/>
                <w:color w:val="auto"/>
                <w:kern w:val="0"/>
                <w:sz w:val="24"/>
                <w:highlight w:val="none"/>
                <w:u w:val="single"/>
                <w:lang w:val="en-US" w:eastAsia="zh-CN"/>
              </w:rPr>
              <w:t>12</w:t>
            </w:r>
            <w:r>
              <w:rPr>
                <w:rFonts w:hint="eastAsia" w:ascii="宋体" w:hAnsi="宋体" w:cs="宋体"/>
                <w:b/>
                <w:bCs/>
                <w:color w:val="auto"/>
                <w:kern w:val="0"/>
                <w:sz w:val="24"/>
                <w:highlight w:val="none"/>
                <w:u w:val="single"/>
              </w:rPr>
              <w:t>日</w:t>
            </w:r>
            <w:r>
              <w:rPr>
                <w:rFonts w:hint="eastAsia" w:ascii="宋体" w:hAnsi="宋体" w:cs="宋体"/>
                <w:b/>
                <w:bCs/>
                <w:color w:val="auto"/>
                <w:kern w:val="0"/>
                <w:sz w:val="24"/>
                <w:highlight w:val="none"/>
                <w:u w:val="single"/>
                <w:lang w:val="en-US" w:eastAsia="zh-CN"/>
              </w:rPr>
              <w:t>15</w:t>
            </w:r>
            <w:r>
              <w:rPr>
                <w:rFonts w:hint="eastAsia" w:ascii="宋体" w:hAnsi="宋体" w:cs="宋体"/>
                <w:b/>
                <w:bCs/>
                <w:color w:val="auto"/>
                <w:kern w:val="0"/>
                <w:sz w:val="24"/>
                <w:highlight w:val="none"/>
                <w:u w:val="single"/>
              </w:rPr>
              <w:t>时</w:t>
            </w:r>
            <w:r>
              <w:rPr>
                <w:rFonts w:hint="eastAsia" w:ascii="宋体" w:hAnsi="宋体" w:cs="宋体"/>
                <w:b/>
                <w:bCs/>
                <w:color w:val="auto"/>
                <w:kern w:val="0"/>
                <w:sz w:val="24"/>
                <w:highlight w:val="none"/>
                <w:u w:val="single"/>
                <w:lang w:val="en-US" w:eastAsia="zh-CN"/>
              </w:rPr>
              <w:t>00</w:t>
            </w:r>
            <w:r>
              <w:rPr>
                <w:rFonts w:hint="eastAsia" w:ascii="宋体" w:hAnsi="宋体" w:cs="宋体"/>
                <w:b/>
                <w:bCs/>
                <w:color w:val="auto"/>
                <w:kern w:val="0"/>
                <w:sz w:val="24"/>
                <w:highlight w:val="none"/>
                <w:u w:val="single"/>
              </w:rPr>
              <w:t>分</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提交地点：</w:t>
            </w:r>
            <w:r>
              <w:rPr>
                <w:rFonts w:hint="eastAsia" w:ascii="宋体" w:hAnsi="宋体" w:cs="宋体"/>
                <w:b/>
                <w:bCs/>
                <w:color w:val="auto"/>
                <w:kern w:val="0"/>
                <w:sz w:val="24"/>
                <w:highlight w:val="none"/>
                <w:u w:val="single"/>
              </w:rPr>
              <w:t>江苏大生集团有限公司研究院</w:t>
            </w:r>
            <w:r>
              <w:rPr>
                <w:rFonts w:hint="eastAsia" w:ascii="宋体" w:hAnsi="宋体" w:cs="宋体"/>
                <w:b/>
                <w:bCs/>
                <w:color w:val="auto"/>
                <w:kern w:val="0"/>
                <w:sz w:val="24"/>
                <w:highlight w:val="none"/>
                <w:u w:val="single"/>
                <w:lang w:val="en-US" w:eastAsia="zh-CN"/>
              </w:rPr>
              <w:t>三</w:t>
            </w:r>
            <w:r>
              <w:rPr>
                <w:rFonts w:hint="eastAsia" w:ascii="宋体" w:hAnsi="宋体" w:cs="宋体"/>
                <w:b/>
                <w:bCs/>
                <w:color w:val="auto"/>
                <w:kern w:val="0"/>
                <w:sz w:val="24"/>
                <w:highlight w:val="none"/>
                <w:u w:val="single"/>
              </w:rPr>
              <w:t>楼</w:t>
            </w:r>
            <w:r>
              <w:rPr>
                <w:rFonts w:hint="eastAsia" w:ascii="宋体" w:hAnsi="宋体" w:cs="宋体"/>
                <w:b/>
                <w:bCs/>
                <w:color w:val="auto"/>
                <w:kern w:val="0"/>
                <w:sz w:val="24"/>
                <w:highlight w:val="none"/>
                <w:u w:val="single"/>
                <w:lang w:val="en-US" w:eastAsia="zh-CN"/>
              </w:rPr>
              <w:t>310</w:t>
            </w:r>
            <w:r>
              <w:rPr>
                <w:rFonts w:hint="eastAsia" w:ascii="宋体" w:hAnsi="宋体" w:cs="宋体"/>
                <w:b/>
                <w:bCs/>
                <w:color w:val="auto"/>
                <w:kern w:val="0"/>
                <w:sz w:val="24"/>
                <w:highlight w:val="none"/>
                <w:u w:val="single"/>
              </w:rPr>
              <w:t>会议室（大生路1号）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24</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开标</w:t>
            </w:r>
          </w:p>
        </w:tc>
        <w:tc>
          <w:tcPr>
            <w:tcW w:w="6194" w:type="dxa"/>
            <w:vAlign w:val="center"/>
          </w:tcPr>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开标时间：</w:t>
            </w:r>
            <w:r>
              <w:rPr>
                <w:rFonts w:hint="eastAsia" w:ascii="宋体" w:hAnsi="宋体" w:cs="宋体"/>
                <w:b/>
                <w:bCs/>
                <w:color w:val="auto"/>
                <w:kern w:val="0"/>
                <w:sz w:val="24"/>
                <w:highlight w:val="none"/>
                <w:u w:val="single"/>
              </w:rPr>
              <w:t>202</w:t>
            </w:r>
            <w:r>
              <w:rPr>
                <w:rFonts w:hint="eastAsia" w:ascii="宋体" w:hAnsi="宋体"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r>
              <w:rPr>
                <w:rFonts w:hint="eastAsia" w:ascii="宋体" w:hAnsi="宋体" w:cs="宋体"/>
                <w:b/>
                <w:bCs/>
                <w:color w:val="auto"/>
                <w:kern w:val="0"/>
                <w:sz w:val="24"/>
                <w:highlight w:val="none"/>
                <w:u w:val="single"/>
                <w:lang w:val="en-US" w:eastAsia="zh-CN"/>
              </w:rPr>
              <w:t>08</w:t>
            </w:r>
            <w:r>
              <w:rPr>
                <w:rFonts w:hint="eastAsia" w:ascii="宋体" w:hAnsi="宋体" w:cs="宋体"/>
                <w:b/>
                <w:bCs/>
                <w:color w:val="auto"/>
                <w:kern w:val="0"/>
                <w:sz w:val="24"/>
                <w:highlight w:val="none"/>
                <w:u w:val="single"/>
              </w:rPr>
              <w:t>月</w:t>
            </w:r>
            <w:r>
              <w:rPr>
                <w:rFonts w:hint="eastAsia" w:ascii="宋体" w:hAnsi="宋体" w:cs="宋体"/>
                <w:b/>
                <w:bCs/>
                <w:color w:val="auto"/>
                <w:kern w:val="0"/>
                <w:sz w:val="24"/>
                <w:highlight w:val="none"/>
                <w:u w:val="single"/>
                <w:lang w:val="en-US" w:eastAsia="zh-CN"/>
              </w:rPr>
              <w:t>12</w:t>
            </w:r>
            <w:r>
              <w:rPr>
                <w:rFonts w:hint="eastAsia" w:ascii="宋体" w:hAnsi="宋体" w:cs="宋体"/>
                <w:b/>
                <w:bCs/>
                <w:color w:val="auto"/>
                <w:kern w:val="0"/>
                <w:sz w:val="24"/>
                <w:highlight w:val="none"/>
                <w:u w:val="single"/>
              </w:rPr>
              <w:t>日</w:t>
            </w:r>
            <w:r>
              <w:rPr>
                <w:rFonts w:hint="eastAsia" w:ascii="宋体" w:hAnsi="宋体" w:cs="宋体"/>
                <w:b/>
                <w:bCs/>
                <w:color w:val="auto"/>
                <w:kern w:val="0"/>
                <w:sz w:val="24"/>
                <w:highlight w:val="none"/>
                <w:u w:val="single"/>
                <w:lang w:val="en-US" w:eastAsia="zh-CN"/>
              </w:rPr>
              <w:t>15</w:t>
            </w:r>
            <w:r>
              <w:rPr>
                <w:rFonts w:hint="eastAsia" w:ascii="宋体" w:hAnsi="宋体" w:cs="宋体"/>
                <w:b/>
                <w:bCs/>
                <w:color w:val="auto"/>
                <w:kern w:val="0"/>
                <w:sz w:val="24"/>
                <w:highlight w:val="none"/>
                <w:u w:val="single"/>
              </w:rPr>
              <w:t>时</w:t>
            </w:r>
            <w:r>
              <w:rPr>
                <w:rFonts w:hint="eastAsia" w:ascii="宋体" w:hAnsi="宋体" w:cs="宋体"/>
                <w:b/>
                <w:bCs/>
                <w:color w:val="auto"/>
                <w:kern w:val="0"/>
                <w:sz w:val="24"/>
                <w:highlight w:val="none"/>
                <w:u w:val="single"/>
                <w:lang w:val="en-US" w:eastAsia="zh-CN"/>
              </w:rPr>
              <w:t>00</w:t>
            </w:r>
            <w:r>
              <w:rPr>
                <w:rFonts w:hint="eastAsia" w:ascii="宋体" w:hAnsi="宋体" w:cs="宋体"/>
                <w:b/>
                <w:bCs/>
                <w:color w:val="auto"/>
                <w:kern w:val="0"/>
                <w:sz w:val="24"/>
                <w:highlight w:val="none"/>
                <w:u w:val="single"/>
              </w:rPr>
              <w:t>分</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开标地点：</w:t>
            </w:r>
            <w:r>
              <w:rPr>
                <w:rFonts w:hint="eastAsia" w:ascii="宋体" w:hAnsi="宋体" w:cs="宋体"/>
                <w:b/>
                <w:bCs/>
                <w:color w:val="auto"/>
                <w:kern w:val="0"/>
                <w:sz w:val="24"/>
                <w:highlight w:val="none"/>
                <w:u w:val="single"/>
              </w:rPr>
              <w:t>江苏大生集团有限公司研究院</w:t>
            </w:r>
            <w:r>
              <w:rPr>
                <w:rFonts w:hint="eastAsia" w:ascii="宋体" w:hAnsi="宋体" w:cs="宋体"/>
                <w:b/>
                <w:bCs/>
                <w:color w:val="auto"/>
                <w:kern w:val="0"/>
                <w:sz w:val="24"/>
                <w:highlight w:val="none"/>
                <w:u w:val="single"/>
                <w:lang w:val="en-US" w:eastAsia="zh-CN"/>
              </w:rPr>
              <w:t>三</w:t>
            </w:r>
            <w:r>
              <w:rPr>
                <w:rFonts w:hint="eastAsia" w:ascii="宋体" w:hAnsi="宋体" w:cs="宋体"/>
                <w:b/>
                <w:bCs/>
                <w:color w:val="auto"/>
                <w:kern w:val="0"/>
                <w:sz w:val="24"/>
                <w:highlight w:val="none"/>
                <w:u w:val="single"/>
              </w:rPr>
              <w:t>楼</w:t>
            </w:r>
            <w:r>
              <w:rPr>
                <w:rFonts w:hint="eastAsia" w:ascii="宋体" w:hAnsi="宋体" w:cs="宋体"/>
                <w:b/>
                <w:bCs/>
                <w:color w:val="auto"/>
                <w:kern w:val="0"/>
                <w:sz w:val="24"/>
                <w:highlight w:val="none"/>
                <w:u w:val="single"/>
                <w:lang w:val="en-US" w:eastAsia="zh-CN"/>
              </w:rPr>
              <w:t>310</w:t>
            </w:r>
            <w:r>
              <w:rPr>
                <w:rFonts w:hint="eastAsia" w:ascii="宋体" w:hAnsi="宋体" w:cs="宋体"/>
                <w:b/>
                <w:bCs/>
                <w:color w:val="auto"/>
                <w:kern w:val="0"/>
                <w:sz w:val="24"/>
                <w:highlight w:val="none"/>
                <w:u w:val="single"/>
              </w:rPr>
              <w:t>会议室（大生路1号）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19</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25</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评标委员会</w:t>
            </w:r>
          </w:p>
        </w:tc>
        <w:tc>
          <w:tcPr>
            <w:tcW w:w="6194" w:type="dxa"/>
            <w:vAlign w:val="center"/>
          </w:tcPr>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评标委员会构成共</w:t>
            </w:r>
            <w:r>
              <w:rPr>
                <w:rFonts w:hint="eastAsia" w:ascii="宋体" w:hAnsi="宋体" w:cs="宋体"/>
                <w:color w:val="auto"/>
                <w:kern w:val="0"/>
                <w:sz w:val="24"/>
                <w:highlight w:val="none"/>
                <w:u w:val="single"/>
              </w:rPr>
              <w:t>3</w:t>
            </w:r>
            <w:r>
              <w:rPr>
                <w:rFonts w:hint="eastAsia" w:ascii="宋体" w:hAnsi="宋体" w:cs="宋体"/>
                <w:color w:val="auto"/>
                <w:kern w:val="0"/>
                <w:sz w:val="24"/>
                <w:highlight w:val="none"/>
              </w:rPr>
              <w:t>人或以上单数。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35</w:t>
            </w: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履约担保金额</w:t>
            </w:r>
          </w:p>
        </w:tc>
        <w:tc>
          <w:tcPr>
            <w:tcW w:w="6194" w:type="dxa"/>
            <w:vAlign w:val="center"/>
          </w:tcPr>
          <w:p>
            <w:pPr>
              <w:pStyle w:val="35"/>
              <w:adjustRightIn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本项目中标后的履约保证金为项目合同价的10%。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21</w:t>
            </w:r>
          </w:p>
        </w:tc>
        <w:tc>
          <w:tcPr>
            <w:tcW w:w="964"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60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其他补充内容</w:t>
            </w:r>
          </w:p>
        </w:tc>
        <w:tc>
          <w:tcPr>
            <w:tcW w:w="6194" w:type="dxa"/>
            <w:vAlign w:val="center"/>
          </w:tcPr>
          <w:p>
            <w:pPr>
              <w:pStyle w:val="35"/>
              <w:numPr>
                <w:ilvl w:val="0"/>
                <w:numId w:val="0"/>
              </w:numPr>
              <w:adjustRightInd w:val="0"/>
              <w:spacing w:line="360" w:lineRule="auto"/>
              <w:rPr>
                <w:rFonts w:hint="eastAsia" w:ascii="宋体" w:hAnsi="宋体" w:eastAsia="宋体" w:cs="宋体"/>
                <w:b w:val="0"/>
                <w:bCs w:val="0"/>
                <w:snapToGrid w:val="0"/>
                <w:color w:val="auto"/>
                <w:spacing w:val="0"/>
                <w:kern w:val="0"/>
                <w:position w:val="0"/>
                <w:sz w:val="24"/>
                <w:szCs w:val="24"/>
                <w:highlight w:val="none"/>
              </w:rPr>
            </w:pPr>
            <w:r>
              <w:rPr>
                <w:rFonts w:hint="eastAsia" w:ascii="宋体" w:hAnsi="宋体" w:eastAsia="宋体" w:cs="宋体"/>
                <w:b w:val="0"/>
                <w:bCs w:val="0"/>
                <w:snapToGrid w:val="0"/>
                <w:color w:val="auto"/>
                <w:spacing w:val="0"/>
                <w:kern w:val="0"/>
                <w:position w:val="0"/>
                <w:sz w:val="24"/>
                <w:szCs w:val="24"/>
                <w:highlight w:val="none"/>
              </w:rPr>
              <w:t>本项目招标代理服务费及评委费由中标人支付。</w:t>
            </w:r>
            <w:r>
              <w:rPr>
                <w:rFonts w:hint="eastAsia" w:ascii="宋体" w:hAnsi="宋体" w:cs="宋体"/>
                <w:b w:val="0"/>
                <w:bCs w:val="0"/>
                <w:snapToGrid w:val="0"/>
                <w:color w:val="auto"/>
                <w:spacing w:val="0"/>
                <w:kern w:val="0"/>
                <w:position w:val="0"/>
                <w:sz w:val="24"/>
                <w:szCs w:val="24"/>
                <w:highlight w:val="none"/>
                <w:lang w:val="en-US" w:eastAsia="zh-CN"/>
              </w:rPr>
              <w:t>其中</w:t>
            </w:r>
            <w:r>
              <w:rPr>
                <w:rFonts w:hint="eastAsia" w:ascii="宋体" w:hAnsi="宋体" w:eastAsia="宋体" w:cs="宋体"/>
                <w:b w:val="0"/>
                <w:bCs w:val="0"/>
                <w:snapToGrid w:val="0"/>
                <w:color w:val="auto"/>
                <w:spacing w:val="0"/>
                <w:kern w:val="0"/>
                <w:position w:val="0"/>
                <w:sz w:val="24"/>
                <w:szCs w:val="24"/>
                <w:highlight w:val="none"/>
              </w:rPr>
              <w:t>招标代理服务费</w:t>
            </w:r>
            <w:r>
              <w:rPr>
                <w:rFonts w:hint="eastAsia" w:ascii="宋体" w:hAnsi="宋体" w:eastAsia="宋体" w:cs="宋体"/>
                <w:b w:val="0"/>
                <w:bCs w:val="0"/>
                <w:snapToGrid w:val="0"/>
                <w:color w:val="auto"/>
                <w:spacing w:val="0"/>
                <w:kern w:val="0"/>
                <w:position w:val="0"/>
                <w:sz w:val="24"/>
                <w:szCs w:val="24"/>
                <w:highlight w:val="none"/>
                <w:lang w:val="en-US" w:eastAsia="zh-CN"/>
              </w:rPr>
              <w:t>参考</w:t>
            </w:r>
            <w:r>
              <w:rPr>
                <w:rFonts w:hint="eastAsia" w:ascii="宋体" w:hAnsi="宋体" w:eastAsia="宋体" w:cs="宋体"/>
                <w:b w:val="0"/>
                <w:bCs w:val="0"/>
                <w:snapToGrid w:val="0"/>
                <w:color w:val="auto"/>
                <w:spacing w:val="0"/>
                <w:kern w:val="0"/>
                <w:position w:val="0"/>
                <w:sz w:val="24"/>
                <w:szCs w:val="24"/>
                <w:highlight w:val="none"/>
              </w:rPr>
              <w:t>国家计价格(2002)1980号《招标代理服务收费管理暂行办法》规定标准</w:t>
            </w:r>
            <w:r>
              <w:rPr>
                <w:rFonts w:hint="eastAsia" w:ascii="宋体" w:hAnsi="宋体" w:eastAsia="宋体" w:cs="宋体"/>
                <w:b w:val="0"/>
                <w:bCs w:val="0"/>
                <w:snapToGrid w:val="0"/>
                <w:color w:val="auto"/>
                <w:spacing w:val="0"/>
                <w:kern w:val="0"/>
                <w:position w:val="0"/>
                <w:sz w:val="24"/>
                <w:szCs w:val="24"/>
                <w:highlight w:val="none"/>
                <w:lang w:val="en-US" w:eastAsia="zh-CN"/>
              </w:rPr>
              <w:t>执行</w:t>
            </w:r>
            <w:r>
              <w:rPr>
                <w:rFonts w:hint="eastAsia" w:ascii="宋体" w:hAnsi="宋体" w:eastAsia="宋体" w:cs="宋体"/>
                <w:b w:val="0"/>
                <w:bCs w:val="0"/>
                <w:snapToGrid w:val="0"/>
                <w:color w:val="auto"/>
                <w:spacing w:val="0"/>
                <w:kern w:val="0"/>
                <w:position w:val="0"/>
                <w:sz w:val="24"/>
                <w:szCs w:val="24"/>
                <w:highlight w:val="none"/>
              </w:rPr>
              <w:t>，均由中标人承担，中标人在领取中标通知书前一次性支付。各投标人自行考虑报价，并包含在投标报价内，但不单列。</w:t>
            </w:r>
          </w:p>
        </w:tc>
      </w:tr>
    </w:tbl>
    <w:p>
      <w:pPr>
        <w:tabs>
          <w:tab w:val="center" w:pos="4153"/>
        </w:tabs>
        <w:adjustRightInd w:val="0"/>
        <w:snapToGrid w:val="0"/>
        <w:spacing w:beforeLines="50" w:line="360" w:lineRule="auto"/>
        <w:jc w:val="center"/>
        <w:rPr>
          <w:rFonts w:hint="eastAsia" w:ascii="宋体" w:hAnsi="宋体" w:cs="宋体"/>
          <w:b/>
          <w:bCs/>
          <w:color w:val="auto"/>
          <w:kern w:val="0"/>
          <w:sz w:val="24"/>
          <w:highlight w:val="none"/>
        </w:rPr>
        <w:sectPr>
          <w:footerReference r:id="rId10" w:type="default"/>
          <w:pgSz w:w="11907" w:h="16840"/>
          <w:pgMar w:top="1497" w:right="1519" w:bottom="1497" w:left="1519" w:header="720" w:footer="720" w:gutter="0"/>
          <w:pgNumType w:start="1"/>
          <w:cols w:space="720" w:num="1"/>
          <w:docGrid w:linePitch="272" w:charSpace="0"/>
        </w:sectPr>
      </w:pPr>
    </w:p>
    <w:p>
      <w:pPr>
        <w:pStyle w:val="4"/>
        <w:adjustRightInd w:val="0"/>
        <w:snapToGrid w:val="0"/>
        <w:rPr>
          <w:rFonts w:hint="eastAsia" w:ascii="宋体" w:hAnsi="宋体" w:cs="宋体"/>
          <w:color w:val="auto"/>
          <w:kern w:val="0"/>
          <w:highlight w:val="none"/>
        </w:rPr>
      </w:pPr>
      <w:bookmarkStart w:id="10" w:name="_Toc48207449"/>
      <w:bookmarkStart w:id="11" w:name="_Toc520971067"/>
      <w:bookmarkStart w:id="12" w:name="_Toc427765914"/>
      <w:r>
        <w:rPr>
          <w:rFonts w:hint="eastAsia" w:ascii="宋体" w:hAnsi="宋体" w:cs="宋体"/>
          <w:color w:val="auto"/>
          <w:kern w:val="0"/>
          <w:highlight w:val="none"/>
        </w:rPr>
        <w:t>二、投标须知</w:t>
      </w:r>
      <w:bookmarkEnd w:id="10"/>
      <w:bookmarkEnd w:id="11"/>
      <w:bookmarkEnd w:id="12"/>
    </w:p>
    <w:p>
      <w:pPr>
        <w:pStyle w:val="4"/>
        <w:adjustRightInd w:val="0"/>
        <w:snapToGrid w:val="0"/>
        <w:rPr>
          <w:rFonts w:hint="eastAsia" w:ascii="宋体" w:hAnsi="宋体" w:cs="宋体"/>
          <w:color w:val="auto"/>
          <w:kern w:val="0"/>
          <w:highlight w:val="none"/>
        </w:rPr>
      </w:pPr>
      <w:bookmarkStart w:id="13" w:name="_Toc520971068"/>
      <w:bookmarkStart w:id="14" w:name="_Toc48207450"/>
      <w:r>
        <w:rPr>
          <w:rFonts w:hint="eastAsia" w:ascii="宋体" w:hAnsi="宋体" w:cs="宋体"/>
          <w:color w:val="auto"/>
          <w:kern w:val="0"/>
          <w:highlight w:val="none"/>
        </w:rPr>
        <w:t>（一）总则</w:t>
      </w:r>
      <w:bookmarkEnd w:id="13"/>
      <w:bookmarkEnd w:id="14"/>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1.工程概况</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1.1本招标工程项目说明详见本须知前附表第1项~第7项。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1.2招标范围：见本须知前附表第8项。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1.3现场条件</w:t>
      </w:r>
    </w:p>
    <w:p>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color w:val="auto"/>
          <w:kern w:val="0"/>
          <w:sz w:val="24"/>
          <w:highlight w:val="none"/>
          <w:u w:val="single"/>
        </w:rPr>
      </w:pPr>
      <w:r>
        <w:rPr>
          <w:rFonts w:hint="eastAsia" w:ascii="宋体" w:hAnsi="宋体" w:cs="宋体"/>
          <w:snapToGrid w:val="0"/>
          <w:color w:val="auto"/>
          <w:kern w:val="0"/>
          <w:sz w:val="24"/>
          <w:highlight w:val="none"/>
        </w:rPr>
        <w:t>（1）施工现场拆迁及平整情况：</w:t>
      </w:r>
      <w:r>
        <w:rPr>
          <w:rFonts w:hint="eastAsia" w:ascii="宋体" w:hAnsi="宋体" w:cs="宋体"/>
          <w:snapToGrid w:val="0"/>
          <w:color w:val="auto"/>
          <w:kern w:val="0"/>
          <w:sz w:val="24"/>
          <w:highlight w:val="none"/>
          <w:u w:val="single"/>
        </w:rPr>
        <w:t>以</w:t>
      </w:r>
      <w:r>
        <w:rPr>
          <w:rFonts w:hint="eastAsia" w:ascii="宋体" w:hAnsi="宋体" w:cs="宋体"/>
          <w:bCs/>
          <w:snapToGrid w:val="0"/>
          <w:color w:val="auto"/>
          <w:kern w:val="0"/>
          <w:sz w:val="24"/>
          <w:highlight w:val="none"/>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pPr>
        <w:autoSpaceDE w:val="0"/>
        <w:autoSpaceDN w:val="0"/>
        <w:adjustRightInd w:val="0"/>
        <w:snapToGrid w:val="0"/>
        <w:spacing w:line="360" w:lineRule="auto"/>
        <w:ind w:firstLine="480" w:firstLineChars="200"/>
        <w:rPr>
          <w:rFonts w:hint="eastAsia" w:ascii="宋体" w:hAnsi="宋体" w:cs="宋体"/>
          <w:color w:val="auto"/>
          <w:kern w:val="0"/>
          <w:sz w:val="24"/>
          <w:highlight w:val="none"/>
          <w:u w:val="single"/>
        </w:rPr>
      </w:pPr>
      <w:r>
        <w:rPr>
          <w:rFonts w:hint="eastAsia" w:ascii="宋体" w:hAnsi="宋体" w:cs="宋体"/>
          <w:snapToGrid w:val="0"/>
          <w:color w:val="auto"/>
          <w:kern w:val="0"/>
          <w:sz w:val="24"/>
          <w:highlight w:val="none"/>
        </w:rPr>
        <w:t>（2）施工用水、电：</w:t>
      </w:r>
      <w:r>
        <w:rPr>
          <w:rFonts w:hint="eastAsia" w:ascii="宋体" w:hAnsi="宋体" w:cs="宋体"/>
          <w:bCs/>
          <w:snapToGrid w:val="0"/>
          <w:color w:val="auto"/>
          <w:kern w:val="0"/>
          <w:sz w:val="24"/>
          <w:highlight w:val="none"/>
          <w:u w:val="single"/>
        </w:rPr>
        <w:t>施工单位自行解决临时用水、用电，一切费用由投标人承担。</w:t>
      </w:r>
    </w:p>
    <w:p>
      <w:pPr>
        <w:adjustRightInd w:val="0"/>
        <w:snapToGrid w:val="0"/>
        <w:spacing w:line="360" w:lineRule="auto"/>
        <w:ind w:firstLine="480" w:firstLineChars="200"/>
        <w:rPr>
          <w:rFonts w:hint="eastAsia" w:ascii="宋体" w:hAnsi="宋体" w:cs="宋体"/>
          <w:snapToGrid w:val="0"/>
          <w:color w:val="auto"/>
          <w:kern w:val="0"/>
          <w:sz w:val="24"/>
          <w:highlight w:val="none"/>
          <w:u w:val="single"/>
        </w:rPr>
      </w:pPr>
      <w:r>
        <w:rPr>
          <w:rFonts w:hint="eastAsia" w:ascii="宋体" w:hAnsi="宋体" w:cs="宋体"/>
          <w:snapToGrid w:val="0"/>
          <w:color w:val="auto"/>
          <w:kern w:val="0"/>
          <w:sz w:val="24"/>
          <w:highlight w:val="none"/>
        </w:rPr>
        <w:t>（3）场内外道路：</w:t>
      </w:r>
      <w:r>
        <w:rPr>
          <w:rFonts w:hint="eastAsia" w:ascii="宋体" w:hAnsi="宋体" w:cs="宋体"/>
          <w:snapToGrid w:val="0"/>
          <w:color w:val="auto"/>
          <w:kern w:val="0"/>
          <w:sz w:val="24"/>
          <w:highlight w:val="none"/>
          <w:u w:val="single"/>
        </w:rPr>
        <w:t>场内外道路投标单位踏勘现场后自行考虑，费用列入报价中，结算时一律不予调整。</w:t>
      </w:r>
    </w:p>
    <w:p>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highlight w:val="none"/>
          <w:u w:val="single"/>
        </w:rPr>
      </w:pPr>
      <w:r>
        <w:rPr>
          <w:rFonts w:hint="eastAsia" w:ascii="宋体" w:hAnsi="宋体" w:cs="宋体"/>
          <w:snapToGrid w:val="0"/>
          <w:color w:val="auto"/>
          <w:kern w:val="0"/>
          <w:sz w:val="24"/>
          <w:highlight w:val="none"/>
        </w:rPr>
        <w:t>（4）其他：</w:t>
      </w:r>
      <w:r>
        <w:rPr>
          <w:rFonts w:hint="eastAsia" w:ascii="宋体" w:hAnsi="宋体" w:cs="宋体"/>
          <w:color w:val="auto"/>
          <w:kern w:val="0"/>
          <w:sz w:val="24"/>
          <w:highlight w:val="none"/>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1.4按照《中华人民共和国招标投标法》、《工程建设项目施工招标投标办法》及相关规定，上述工程已符合招标条件，现采用</w:t>
      </w:r>
      <w:r>
        <w:rPr>
          <w:rFonts w:hint="eastAsia" w:ascii="宋体" w:hAnsi="宋体" w:cs="宋体"/>
          <w:b/>
          <w:color w:val="auto"/>
          <w:kern w:val="0"/>
          <w:sz w:val="24"/>
          <w:highlight w:val="none"/>
          <w:u w:val="single"/>
        </w:rPr>
        <w:t>公开</w:t>
      </w:r>
      <w:r>
        <w:rPr>
          <w:rFonts w:hint="eastAsia" w:ascii="宋体" w:hAnsi="宋体" w:cs="宋体"/>
          <w:color w:val="auto"/>
          <w:kern w:val="0"/>
          <w:sz w:val="24"/>
          <w:highlight w:val="none"/>
        </w:rPr>
        <w:t>招标方式，择优选定施工单位。</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snapToGrid w:val="0"/>
          <w:color w:val="auto"/>
          <w:kern w:val="0"/>
          <w:sz w:val="24"/>
          <w:highlight w:val="none"/>
        </w:rPr>
        <w:t>2、</w:t>
      </w:r>
      <w:r>
        <w:rPr>
          <w:rFonts w:hint="eastAsia" w:ascii="宋体" w:hAnsi="宋体" w:cs="宋体"/>
          <w:color w:val="auto"/>
          <w:kern w:val="0"/>
          <w:sz w:val="24"/>
          <w:highlight w:val="none"/>
        </w:rPr>
        <w:t>投标人资格要求</w:t>
      </w:r>
    </w:p>
    <w:p>
      <w:pPr>
        <w:adjustRightInd w:val="0"/>
        <w:snapToGrid w:val="0"/>
        <w:spacing w:line="360" w:lineRule="auto"/>
        <w:ind w:firstLine="482" w:firstLineChars="200"/>
        <w:rPr>
          <w:rFonts w:hint="eastAsia" w:ascii="宋体" w:hAnsi="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详见招标公告。</w:t>
      </w:r>
    </w:p>
    <w:p>
      <w:pPr>
        <w:adjustRightInd w:val="0"/>
        <w:snapToGrid w:val="0"/>
        <w:spacing w:line="360" w:lineRule="auto"/>
        <w:ind w:firstLine="482" w:firstLineChars="200"/>
        <w:rPr>
          <w:rFonts w:hint="eastAsia" w:ascii="宋体" w:hAnsi="宋体" w:cs="宋体"/>
          <w:color w:val="auto"/>
          <w:kern w:val="0"/>
          <w:sz w:val="24"/>
          <w:highlight w:val="none"/>
        </w:rPr>
      </w:pPr>
      <w:r>
        <w:rPr>
          <w:rFonts w:hint="eastAsia" w:ascii="宋体" w:hAnsi="宋体" w:cs="宋体"/>
          <w:b/>
          <w:bCs/>
          <w:color w:val="auto"/>
          <w:kern w:val="0"/>
          <w:sz w:val="24"/>
          <w:highlight w:val="none"/>
        </w:rPr>
        <w:t>注：未尽之处具体详见招标文件“评标办法”中的“资格审查标准汇总表”。提供的资格审查材料及审查标准，前后矛盾的以《资格审查标准汇总表》为准。</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3.投标费用</w:t>
      </w:r>
    </w:p>
    <w:p>
      <w:pPr>
        <w:adjustRightInd w:val="0"/>
        <w:snapToGrid w:val="0"/>
        <w:spacing w:line="360" w:lineRule="auto"/>
        <w:ind w:firstLine="480" w:firstLineChars="200"/>
        <w:rPr>
          <w:rFonts w:hint="eastAsia" w:ascii="宋体" w:hAnsi="宋体" w:cs="宋体"/>
          <w:b/>
          <w:bCs/>
          <w:color w:val="auto"/>
          <w:kern w:val="0"/>
          <w:sz w:val="24"/>
          <w:highlight w:val="none"/>
        </w:rPr>
      </w:pPr>
      <w:r>
        <w:rPr>
          <w:rFonts w:hint="eastAsia" w:ascii="宋体" w:hAnsi="宋体" w:cs="宋体"/>
          <w:color w:val="auto"/>
          <w:kern w:val="0"/>
          <w:sz w:val="24"/>
          <w:highlight w:val="none"/>
        </w:rPr>
        <w:t>本工程招标代理服务费及专家评审费由中标人支付，由各潜在投标人自行统筹考虑，中标人在领取中标通知书前一次性支付。</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中标人应承担其编制投标文件以及递交投标文件所涉及的一切费用。无论投标结果如何，招标人对上述费用不负任何责任。</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4.踏勘现场</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4.1.投标人自行对工程现场及周围环境进行踏勘，以便获取有关编制投标文件和签署合同所涉及现场的资料。投标人承担踏勘现场发生的自身费用。</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4.2招标人向投标人提供的有关现场的数据和资料，是招标人现有的能被投标人利用的资料，招标人对投标人作出的任何推论、理解和结论均不负责任。</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4.3 经招标人允许，投标人可为踏勘目的进入招标人的项目现场，但投标人不得因此使招标人承担有关的责任和蒙受损失，投标人应承担踏勘现场的责任和风险。</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4.4 投标人应充分考虑标书制作过程中的数据变化因素，检查确认标书内容的正确完整和对招标文件的响应程度。</w:t>
      </w:r>
      <w:bookmarkStart w:id="15" w:name="_Toc520971069"/>
    </w:p>
    <w:p>
      <w:pPr>
        <w:pStyle w:val="4"/>
        <w:adjustRightInd w:val="0"/>
        <w:snapToGrid w:val="0"/>
        <w:rPr>
          <w:rFonts w:hint="eastAsia" w:ascii="宋体" w:hAnsi="宋体" w:cs="宋体"/>
          <w:color w:val="auto"/>
          <w:kern w:val="0"/>
          <w:szCs w:val="28"/>
          <w:highlight w:val="none"/>
        </w:rPr>
      </w:pPr>
      <w:bookmarkStart w:id="16" w:name="_Toc48207451"/>
      <w:r>
        <w:rPr>
          <w:rFonts w:hint="eastAsia" w:ascii="宋体" w:hAnsi="宋体" w:cs="宋体"/>
          <w:color w:val="auto"/>
          <w:kern w:val="0"/>
          <w:szCs w:val="28"/>
          <w:highlight w:val="none"/>
        </w:rPr>
        <w:t>（二）招标文件</w:t>
      </w:r>
      <w:bookmarkEnd w:id="15"/>
      <w:bookmarkEnd w:id="16"/>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5.招标文件的组成</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5.1招标文件包括下列内容：</w:t>
      </w:r>
    </w:p>
    <w:p>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第一章：投标须知及投标须知前附表</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第二章：评标办法</w:t>
      </w:r>
    </w:p>
    <w:p>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第三章：建设工程施工合同</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第四章：工程建设标准</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第五章：技术资料及附件</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第六章：投标文件格式</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第七章：资格审查资料</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第八章：工程量清单</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5.2</w:t>
      </w:r>
      <w:r>
        <w:rPr>
          <w:rFonts w:hint="eastAsia" w:ascii="宋体" w:hAnsi="宋体" w:cs="宋体"/>
          <w:color w:val="auto"/>
          <w:kern w:val="0"/>
          <w:sz w:val="24"/>
          <w:highlight w:val="none"/>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6.招标文件的澄清</w:t>
      </w:r>
    </w:p>
    <w:p>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6.1投标人从“江苏大生集团有限公司官网”下载招标文件后应仔细阅读和检查招标文件的全部内容。如发现缺页或附件不全，应及时向招标人提出，以便补齐。</w:t>
      </w:r>
    </w:p>
    <w:p>
      <w:pPr>
        <w:tabs>
          <w:tab w:val="left" w:pos="0"/>
          <w:tab w:val="left" w:pos="100"/>
        </w:tabs>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6.2招标人不组织集中答疑，投标人如有疑问，</w:t>
      </w:r>
      <w:r>
        <w:rPr>
          <w:color w:val="auto"/>
          <w:highlight w:val="none"/>
        </w:rPr>
        <w:fldChar w:fldCharType="begin"/>
      </w:r>
      <w:r>
        <w:rPr>
          <w:color w:val="auto"/>
          <w:highlight w:val="none"/>
        </w:rPr>
        <w:instrText xml:space="preserve"> HYPERLINK "mailto:应在投标截止期三日前发送至812298892@qq.com%20" </w:instrText>
      </w:r>
      <w:r>
        <w:rPr>
          <w:color w:val="auto"/>
          <w:highlight w:val="none"/>
        </w:rPr>
        <w:fldChar w:fldCharType="separate"/>
      </w:r>
      <w:r>
        <w:rPr>
          <w:rStyle w:val="73"/>
          <w:rFonts w:cs="宋体"/>
          <w:color w:val="auto"/>
          <w:kern w:val="0"/>
          <w:sz w:val="24"/>
          <w:szCs w:val="24"/>
          <w:highlight w:val="none"/>
        </w:rPr>
        <w:t>应在</w:t>
      </w:r>
      <w:r>
        <w:rPr>
          <w:rStyle w:val="73"/>
          <w:rFonts w:cs="宋体"/>
          <w:bCs/>
          <w:color w:val="auto"/>
          <w:kern w:val="0"/>
          <w:sz w:val="24"/>
          <w:szCs w:val="24"/>
          <w:highlight w:val="none"/>
        </w:rPr>
        <w:t>投标截止期三日前发送至812298892@qq.com</w:t>
      </w:r>
      <w:r>
        <w:rPr>
          <w:rStyle w:val="73"/>
          <w:rFonts w:cs="宋体"/>
          <w:bCs/>
          <w:color w:val="auto"/>
          <w:kern w:val="0"/>
          <w:sz w:val="24"/>
          <w:szCs w:val="24"/>
          <w:highlight w:val="none"/>
        </w:rPr>
        <w:fldChar w:fldCharType="end"/>
      </w:r>
      <w:r>
        <w:rPr>
          <w:rFonts w:hint="eastAsia" w:ascii="宋体" w:hAnsi="宋体" w:cs="宋体"/>
          <w:color w:val="auto"/>
          <w:kern w:val="0"/>
          <w:sz w:val="24"/>
          <w:highlight w:val="none"/>
        </w:rPr>
        <w:t>邮箱，招标人予以澄清。</w:t>
      </w:r>
    </w:p>
    <w:p>
      <w:pPr>
        <w:tabs>
          <w:tab w:val="left" w:pos="0"/>
          <w:tab w:val="left" w:pos="100"/>
        </w:tabs>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6.3招标文件的澄清答疑将在投标人规定的时间</w:t>
      </w:r>
      <w:r>
        <w:rPr>
          <w:rFonts w:hint="eastAsia" w:ascii="宋体" w:hAnsi="宋体" w:cs="宋体"/>
          <w:bCs/>
          <w:color w:val="auto"/>
          <w:kern w:val="0"/>
          <w:sz w:val="24"/>
          <w:highlight w:val="none"/>
          <w:u w:val="single"/>
        </w:rPr>
        <w:t>投标截止期三日</w:t>
      </w:r>
      <w:r>
        <w:rPr>
          <w:rFonts w:hint="eastAsia" w:ascii="宋体" w:hAnsi="宋体" w:cs="宋体"/>
          <w:color w:val="auto"/>
          <w:kern w:val="0"/>
          <w:sz w:val="24"/>
          <w:highlight w:val="none"/>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7.招标文件的修改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7.1招标文件发布后，在投标截止期前，确需对招标文件进行修改的，招标人以招标文件澄清、答疑方式，经“江苏大生集团有限公司官网”向所有投标人公示。</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pPr>
        <w:adjustRightInd w:val="0"/>
        <w:snapToGrid w:val="0"/>
        <w:spacing w:line="360" w:lineRule="auto"/>
        <w:ind w:firstLine="480" w:firstLineChars="200"/>
        <w:rPr>
          <w:rFonts w:hint="eastAsia" w:ascii="宋体" w:hAnsi="宋体" w:cs="宋体"/>
          <w:b/>
          <w:color w:val="auto"/>
          <w:kern w:val="0"/>
          <w:sz w:val="24"/>
          <w:highlight w:val="none"/>
        </w:rPr>
      </w:pPr>
      <w:r>
        <w:rPr>
          <w:rFonts w:hint="eastAsia" w:ascii="宋体" w:hAnsi="宋体" w:cs="宋体"/>
          <w:color w:val="auto"/>
          <w:kern w:val="0"/>
          <w:sz w:val="24"/>
          <w:highlight w:val="none"/>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17" w:name="_Toc520971070"/>
      <w:r>
        <w:rPr>
          <w:rFonts w:hint="eastAsia" w:ascii="宋体" w:hAnsi="宋体" w:cs="宋体"/>
          <w:color w:val="auto"/>
          <w:kern w:val="0"/>
          <w:sz w:val="24"/>
          <w:highlight w:val="none"/>
        </w:rPr>
        <w:t>。</w:t>
      </w:r>
    </w:p>
    <w:p>
      <w:pPr>
        <w:pStyle w:val="4"/>
        <w:adjustRightInd w:val="0"/>
        <w:snapToGrid w:val="0"/>
        <w:rPr>
          <w:rFonts w:hint="eastAsia" w:ascii="宋体" w:hAnsi="宋体" w:cs="宋体"/>
          <w:color w:val="auto"/>
          <w:kern w:val="0"/>
          <w:szCs w:val="28"/>
          <w:highlight w:val="none"/>
        </w:rPr>
      </w:pPr>
      <w:bookmarkStart w:id="18" w:name="_Toc48207452"/>
      <w:r>
        <w:rPr>
          <w:rFonts w:hint="eastAsia" w:ascii="宋体" w:hAnsi="宋体" w:cs="宋体"/>
          <w:color w:val="auto"/>
          <w:kern w:val="0"/>
          <w:szCs w:val="28"/>
          <w:highlight w:val="none"/>
        </w:rPr>
        <w:t>（三）投标文件</w:t>
      </w:r>
      <w:bookmarkEnd w:id="17"/>
      <w:bookmarkEnd w:id="18"/>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8.投标人应认真阅读招标文件所有的内容，未按招标文件要求编制的投标文件将被拒绝或视为无效标。</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9.投标文件分</w:t>
      </w:r>
      <w:r>
        <w:rPr>
          <w:rFonts w:hint="eastAsia" w:ascii="宋体" w:hAnsi="宋体" w:cs="宋体"/>
          <w:b/>
          <w:bCs/>
          <w:color w:val="auto"/>
          <w:kern w:val="0"/>
          <w:sz w:val="24"/>
          <w:highlight w:val="none"/>
          <w:u w:val="single"/>
        </w:rPr>
        <w:t>资格审查文件、</w:t>
      </w:r>
      <w:r>
        <w:rPr>
          <w:rFonts w:hint="eastAsia" w:ascii="宋体" w:hAnsi="宋体" w:cs="宋体"/>
          <w:b/>
          <w:bCs/>
          <w:color w:val="auto"/>
          <w:kern w:val="0"/>
          <w:sz w:val="24"/>
          <w:highlight w:val="none"/>
          <w:u w:val="single"/>
          <w:lang w:val="en-US" w:eastAsia="zh-CN"/>
        </w:rPr>
        <w:t>商务技术</w:t>
      </w:r>
      <w:r>
        <w:rPr>
          <w:rFonts w:hint="eastAsia" w:ascii="宋体" w:hAnsi="宋体" w:cs="宋体"/>
          <w:b/>
          <w:bCs/>
          <w:color w:val="auto"/>
          <w:kern w:val="0"/>
          <w:sz w:val="24"/>
          <w:highlight w:val="none"/>
          <w:u w:val="single"/>
        </w:rPr>
        <w:t>文件</w:t>
      </w:r>
      <w:r>
        <w:rPr>
          <w:rFonts w:hint="eastAsia" w:ascii="宋体" w:hAnsi="宋体" w:cs="宋体"/>
          <w:b/>
          <w:bCs/>
          <w:color w:val="auto"/>
          <w:kern w:val="0"/>
          <w:sz w:val="24"/>
          <w:highlight w:val="none"/>
          <w:u w:val="single"/>
          <w:lang w:eastAsia="zh-CN"/>
        </w:rPr>
        <w:t>、报价</w:t>
      </w:r>
      <w:r>
        <w:rPr>
          <w:rFonts w:hint="eastAsia" w:ascii="宋体" w:hAnsi="宋体" w:cs="宋体"/>
          <w:b/>
          <w:bCs/>
          <w:color w:val="auto"/>
          <w:kern w:val="0"/>
          <w:sz w:val="24"/>
          <w:highlight w:val="none"/>
          <w:u w:val="single"/>
          <w:lang w:val="en-US" w:eastAsia="zh-CN"/>
        </w:rPr>
        <w:t>文件、电子投标文件</w:t>
      </w:r>
      <w:r>
        <w:rPr>
          <w:rFonts w:hint="eastAsia" w:ascii="宋体" w:hAnsi="宋体" w:cs="宋体"/>
          <w:b w:val="0"/>
          <w:bCs w:val="0"/>
          <w:color w:val="auto"/>
          <w:kern w:val="0"/>
          <w:sz w:val="24"/>
          <w:highlight w:val="none"/>
          <w:u w:val="none"/>
          <w:lang w:val="en-US" w:eastAsia="zh-CN"/>
        </w:rPr>
        <w:t>四</w:t>
      </w:r>
      <w:r>
        <w:rPr>
          <w:rFonts w:hint="eastAsia" w:ascii="宋体" w:hAnsi="宋体" w:cs="宋体"/>
          <w:color w:val="auto"/>
          <w:kern w:val="0"/>
          <w:sz w:val="24"/>
          <w:highlight w:val="none"/>
        </w:rPr>
        <w:t>部分。</w:t>
      </w:r>
    </w:p>
    <w:p>
      <w:pPr>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9.1.1资格审查文件包括内容：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（1）法定代表人身份证明书；</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（2）授权委托书（如有授权）；</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（3）有效的企业法人营业执照；</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（4）企业资质证书；</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（5）企业安全生产许可证；</w:t>
      </w:r>
    </w:p>
    <w:p>
      <w:pPr>
        <w:adjustRightInd w:val="0"/>
        <w:snapToGrid w:val="0"/>
        <w:spacing w:line="360" w:lineRule="auto"/>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（6）不拖欠农民工工资的承诺书</w:t>
      </w:r>
      <w:r>
        <w:rPr>
          <w:rFonts w:hint="eastAsia" w:ascii="宋体" w:hAnsi="宋体" w:cs="宋体"/>
          <w:color w:val="auto"/>
          <w:kern w:val="0"/>
          <w:sz w:val="24"/>
          <w:highlight w:val="none"/>
          <w:lang w:eastAsia="zh-CN"/>
        </w:rPr>
        <w:t>；</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诚信承诺书；</w:t>
      </w:r>
    </w:p>
    <w:p>
      <w:pPr>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具体要求详见本招标文件第二章中</w:t>
      </w:r>
      <w:r>
        <w:rPr>
          <w:rFonts w:hint="eastAsia" w:ascii="宋体" w:hAnsi="宋体" w:cs="宋体"/>
          <w:b/>
          <w:color w:val="auto"/>
          <w:kern w:val="0"/>
          <w:sz w:val="24"/>
          <w:highlight w:val="none"/>
          <w:lang w:eastAsia="zh-CN"/>
        </w:rPr>
        <w:t>“</w:t>
      </w:r>
      <w:r>
        <w:rPr>
          <w:rFonts w:hint="eastAsia" w:ascii="宋体" w:hAnsi="宋体" w:cs="宋体"/>
          <w:b/>
          <w:bCs/>
          <w:color w:val="auto"/>
          <w:kern w:val="0"/>
          <w:sz w:val="24"/>
          <w:highlight w:val="none"/>
        </w:rPr>
        <w:t>资格评审标准</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w:t>
      </w:r>
    </w:p>
    <w:p>
      <w:pPr>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9.1.2商务技术文件包括内容：</w:t>
      </w:r>
    </w:p>
    <w:p>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（1）招标文件中评分标准所涉及的事项需提供的所有资料；</w:t>
      </w:r>
    </w:p>
    <w:p>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（2）供应商认为需要提供的其他材料；</w:t>
      </w:r>
    </w:p>
    <w:p>
      <w:pPr>
        <w:adjustRightInd w:val="0"/>
        <w:snapToGrid w:val="0"/>
        <w:spacing w:line="360" w:lineRule="auto"/>
        <w:ind w:firstLine="482" w:firstLineChars="200"/>
        <w:rPr>
          <w:rFonts w:hint="default" w:ascii="宋体" w:hAnsi="宋体" w:cs="宋体"/>
          <w:b/>
          <w:color w:val="auto"/>
          <w:kern w:val="0"/>
          <w:sz w:val="24"/>
          <w:highlight w:val="none"/>
          <w:lang w:val="en-US" w:eastAsia="zh-CN"/>
        </w:rPr>
      </w:pPr>
      <w:r>
        <w:rPr>
          <w:rFonts w:hint="eastAsia" w:ascii="宋体" w:hAnsi="宋体" w:cs="宋体"/>
          <w:b/>
          <w:color w:val="auto"/>
          <w:kern w:val="0"/>
          <w:sz w:val="24"/>
          <w:highlight w:val="none"/>
          <w:lang w:val="en-US" w:eastAsia="zh-CN"/>
        </w:rPr>
        <w:t>9.1.3</w:t>
      </w:r>
      <w:r>
        <w:rPr>
          <w:rFonts w:hint="eastAsia" w:ascii="宋体" w:hAnsi="宋体" w:cs="宋体"/>
          <w:b/>
          <w:color w:val="auto"/>
          <w:kern w:val="0"/>
          <w:sz w:val="24"/>
          <w:highlight w:val="none"/>
        </w:rPr>
        <w:t>报价标包括内容：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（1）投标函；</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（2）已标价的工程量清单；</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（3）计划投入的主要施工机械设备表；</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）主要施工人员表。</w:t>
      </w:r>
    </w:p>
    <w:p>
      <w:pPr>
        <w:pageBreakBefore w:val="0"/>
        <w:bidi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eastAsia="宋体" w:cs="宋体"/>
          <w:b/>
          <w:color w:val="auto"/>
          <w:spacing w:val="0"/>
          <w:w w:val="100"/>
          <w:kern w:val="0"/>
          <w:sz w:val="24"/>
          <w:highlight w:val="none"/>
          <w:lang w:val="en-US" w:eastAsia="zh-CN"/>
        </w:rPr>
        <w:t>9.1.</w:t>
      </w:r>
      <w:r>
        <w:rPr>
          <w:rFonts w:hint="eastAsia" w:ascii="宋体" w:hAnsi="宋体" w:cs="宋体"/>
          <w:b/>
          <w:color w:val="auto"/>
          <w:spacing w:val="0"/>
          <w:w w:val="100"/>
          <w:kern w:val="0"/>
          <w:sz w:val="24"/>
          <w:highlight w:val="none"/>
          <w:lang w:val="en-US" w:eastAsia="zh-CN"/>
        </w:rPr>
        <w:t>4</w:t>
      </w:r>
      <w:r>
        <w:rPr>
          <w:rFonts w:hint="eastAsia" w:ascii="宋体" w:hAnsi="宋体" w:cs="宋体"/>
          <w:b/>
          <w:bCs/>
          <w:color w:val="auto"/>
          <w:sz w:val="24"/>
          <w:highlight w:val="none"/>
        </w:rPr>
        <w:t>电子投标文件</w:t>
      </w:r>
    </w:p>
    <w:p>
      <w:pPr>
        <w:adjustRightInd w:val="0"/>
        <w:snapToGrid w:val="0"/>
        <w:spacing w:line="360" w:lineRule="auto"/>
        <w:ind w:firstLine="480" w:firstLineChars="200"/>
        <w:rPr>
          <w:rFonts w:hint="default" w:ascii="宋体" w:hAnsi="宋体" w:cs="宋体"/>
          <w:b w:val="0"/>
          <w:bCs/>
          <w:color w:val="auto"/>
          <w:sz w:val="24"/>
          <w:highlight w:val="none"/>
          <w:u w:val="single"/>
          <w:lang w:val="en-US" w:eastAsia="zh-CN"/>
        </w:rPr>
      </w:pPr>
      <w:r>
        <w:rPr>
          <w:rFonts w:hint="eastAsia" w:ascii="宋体" w:hAnsi="宋体" w:eastAsia="宋体" w:cs="宋体"/>
          <w:b w:val="0"/>
          <w:bCs/>
          <w:color w:val="auto"/>
          <w:spacing w:val="0"/>
          <w:w w:val="100"/>
          <w:kern w:val="0"/>
          <w:sz w:val="24"/>
          <w:highlight w:val="none"/>
          <w:lang w:val="en-US" w:eastAsia="zh-CN"/>
        </w:rPr>
        <w:t>（1）</w:t>
      </w:r>
      <w:r>
        <w:rPr>
          <w:rFonts w:hint="default" w:ascii="宋体" w:hAnsi="宋体" w:cs="宋体"/>
          <w:b w:val="0"/>
          <w:bCs/>
          <w:color w:val="auto"/>
          <w:sz w:val="24"/>
          <w:highlight w:val="none"/>
          <w:u w:val="single"/>
          <w:lang w:val="en-US" w:eastAsia="zh-CN"/>
        </w:rPr>
        <w:t>刻录在U盘上，包括完整</w:t>
      </w:r>
      <w:r>
        <w:rPr>
          <w:rFonts w:hint="eastAsia" w:ascii="宋体" w:hAnsi="宋体" w:cs="宋体"/>
          <w:b/>
          <w:bCs w:val="0"/>
          <w:color w:val="auto"/>
          <w:sz w:val="24"/>
          <w:highlight w:val="none"/>
          <w:u w:val="single"/>
          <w:lang w:val="en-US" w:eastAsia="zh-CN"/>
        </w:rPr>
        <w:t>盖章版</w:t>
      </w:r>
      <w:r>
        <w:rPr>
          <w:rFonts w:hint="default" w:ascii="宋体" w:hAnsi="宋体" w:cs="宋体"/>
          <w:b w:val="0"/>
          <w:bCs/>
          <w:color w:val="auto"/>
          <w:sz w:val="24"/>
          <w:highlight w:val="none"/>
          <w:u w:val="single"/>
          <w:lang w:val="en-US" w:eastAsia="zh-CN"/>
        </w:rPr>
        <w:t>的资格审查文件、商务技术文件、报价文件的PDF</w:t>
      </w:r>
      <w:r>
        <w:rPr>
          <w:rFonts w:hint="eastAsia" w:ascii="宋体" w:hAnsi="宋体" w:cs="宋体"/>
          <w:b w:val="0"/>
          <w:bCs/>
          <w:color w:val="auto"/>
          <w:sz w:val="24"/>
          <w:highlight w:val="none"/>
          <w:u w:val="single"/>
          <w:lang w:val="en-US" w:eastAsia="zh-CN"/>
        </w:rPr>
        <w:t>扫描</w:t>
      </w:r>
      <w:r>
        <w:rPr>
          <w:rFonts w:hint="default" w:ascii="宋体" w:hAnsi="宋体" w:cs="宋体"/>
          <w:b w:val="0"/>
          <w:bCs/>
          <w:color w:val="auto"/>
          <w:sz w:val="24"/>
          <w:highlight w:val="none"/>
          <w:u w:val="single"/>
          <w:lang w:val="en-US" w:eastAsia="zh-CN"/>
        </w:rPr>
        <w:t>件。</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10.招标文件提供的文件格式（第六章、第七章）投标人必须使用。但表式可以按同样格式进行扩展。</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11.全套投标文件应无修改和行间插字。如有修改，须在修改处加盖投标人法定代表人或其代理人的印鉴。</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12.投标有效期</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投标文件自投标截止时间起至前附表投标须知规定的时间内有效。</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w:t>
      </w:r>
      <w:bookmarkStart w:id="19" w:name="_Toc520971071"/>
      <w:r>
        <w:rPr>
          <w:rFonts w:hint="eastAsia" w:ascii="宋体" w:hAnsi="宋体" w:cs="宋体"/>
          <w:bCs/>
          <w:color w:val="auto"/>
          <w:kern w:val="0"/>
          <w:sz w:val="24"/>
          <w:highlight w:val="none"/>
        </w:rPr>
        <w:t>投标保证金</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13.1投标人必须按投标人须知确定的投标保证金金额与方式提交投标保证金，投标保证金有效期与投标有效期一致。</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13.2未入围中标候选人的投标单位的投标保证金在评标结束后予以退还。</w:t>
      </w:r>
    </w:p>
    <w:p>
      <w:pPr>
        <w:adjustRightInd w:val="0"/>
        <w:snapToGrid w:val="0"/>
        <w:spacing w:line="360" w:lineRule="auto"/>
        <w:ind w:firstLine="480" w:firstLineChars="200"/>
        <w:rPr>
          <w:rFonts w:hint="eastAsia" w:ascii="宋体" w:hAnsi="宋体" w:cs="宋体"/>
          <w:bCs/>
          <w:color w:val="auto"/>
          <w:kern w:val="0"/>
          <w:sz w:val="24"/>
          <w:highlight w:val="none"/>
          <w:lang w:val="zh-CN"/>
        </w:rPr>
      </w:pPr>
      <w:r>
        <w:rPr>
          <w:rFonts w:hint="eastAsia" w:ascii="宋体" w:hAnsi="宋体" w:cs="宋体"/>
          <w:bCs/>
          <w:color w:val="auto"/>
          <w:kern w:val="0"/>
          <w:sz w:val="24"/>
          <w:highlight w:val="none"/>
        </w:rPr>
        <w:t>13.3中标单位的投标保证金在签订合同后予以退还。</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13.4.1放弃中标项目的；</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13.4.3不与招标人签订合同的，或者在签订合同时向招标人提出附加条件或者更改合同实质性内容要求的；</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13.4.4在招投标整个过程中，凡弄虚作假者。</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投标人（中标人）存在前款所述情形的，招标投标行政监督部门应当将其记入不良行为记录，在一年内其它政府投资项目的招标人可以据此不接受其投标。</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14.踏勘现场</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14.1投标人可按本须知前附表第12项所述对工程现场及周围环境进行踏勘，以获取有关编制投标文件和签署合同所涉及现场的资料。投标人承担踏勘现场发生的自身费用。</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14.2招标人向投标人提供的有关现场的数据和资料，是招标人现有的能被投标人利用的资料，招标人对投标人作出的任何推论、理解和结论均不负责任。</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14.3经招标人允许，投标人可为踏勘目的进入招标人的项目现场，但投标人不得因此使招标人承担有关的责任和蒙受损失，投标人应承担踏勘现场的责任和风险。</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14.4投标人应充分考虑投标文件制作过程中的数据变化因素，检查确认投标文件内容的正确完整和对招标文件的响应程度。</w:t>
      </w:r>
    </w:p>
    <w:p>
      <w:pPr>
        <w:pStyle w:val="4"/>
        <w:adjustRightInd w:val="0"/>
        <w:snapToGrid w:val="0"/>
        <w:rPr>
          <w:rFonts w:hint="eastAsia" w:ascii="宋体" w:hAnsi="宋体" w:cs="宋体"/>
          <w:color w:val="auto"/>
          <w:kern w:val="0"/>
          <w:szCs w:val="28"/>
          <w:highlight w:val="none"/>
        </w:rPr>
      </w:pPr>
      <w:bookmarkStart w:id="20" w:name="_Toc48207453"/>
      <w:r>
        <w:rPr>
          <w:rFonts w:hint="eastAsia" w:ascii="宋体" w:hAnsi="宋体" w:cs="宋体"/>
          <w:color w:val="auto"/>
          <w:kern w:val="0"/>
          <w:szCs w:val="28"/>
          <w:highlight w:val="none"/>
        </w:rPr>
        <w:t>（四）投标报价</w:t>
      </w:r>
      <w:bookmarkEnd w:id="19"/>
      <w:bookmarkEnd w:id="20"/>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15.投标报价应包括招标文件所确定的招标范围内相应施工图纸、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16.投标报价方式</w:t>
      </w:r>
    </w:p>
    <w:p>
      <w:pPr>
        <w:autoSpaceDE w:val="0"/>
        <w:autoSpaceDN w:val="0"/>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本工程项目采用</w:t>
      </w:r>
      <w:r>
        <w:rPr>
          <w:rFonts w:hint="eastAsia" w:ascii="宋体" w:hAnsi="宋体" w:cs="宋体"/>
          <w:b/>
          <w:bCs/>
          <w:color w:val="auto"/>
          <w:kern w:val="0"/>
          <w:sz w:val="24"/>
          <w:highlight w:val="none"/>
          <w:u w:val="single"/>
        </w:rPr>
        <w:t>固定</w:t>
      </w:r>
      <w:r>
        <w:rPr>
          <w:rFonts w:hint="eastAsia" w:ascii="宋体" w:hAnsi="宋体" w:cs="宋体"/>
          <w:b/>
          <w:bCs/>
          <w:color w:val="auto"/>
          <w:kern w:val="0"/>
          <w:sz w:val="24"/>
          <w:highlight w:val="none"/>
          <w:u w:val="single"/>
          <w:lang w:val="en-US" w:eastAsia="zh-CN"/>
        </w:rPr>
        <w:t>单价</w:t>
      </w:r>
      <w:r>
        <w:rPr>
          <w:rFonts w:hint="eastAsia" w:ascii="宋体" w:hAnsi="宋体" w:cs="宋体"/>
          <w:color w:val="auto"/>
          <w:kern w:val="0"/>
          <w:sz w:val="24"/>
          <w:highlight w:val="none"/>
        </w:rPr>
        <w:t>报价。</w:t>
      </w:r>
    </w:p>
    <w:p>
      <w:pPr>
        <w:adjustRightInd w:val="0"/>
        <w:snapToGrid w:val="0"/>
        <w:spacing w:line="360" w:lineRule="auto"/>
        <w:ind w:firstLine="480" w:firstLineChars="200"/>
        <w:jc w:val="left"/>
        <w:rPr>
          <w:rFonts w:hint="eastAsia" w:ascii="宋体" w:hAnsi="宋体" w:cs="宋体"/>
          <w:b/>
          <w:color w:val="auto"/>
          <w:kern w:val="0"/>
          <w:sz w:val="24"/>
          <w:highlight w:val="none"/>
          <w:u w:val="single"/>
        </w:rPr>
      </w:pPr>
      <w:r>
        <w:rPr>
          <w:rFonts w:hint="eastAsia" w:ascii="宋体" w:hAnsi="宋体" w:cs="宋体"/>
          <w:color w:val="auto"/>
          <w:kern w:val="0"/>
          <w:sz w:val="24"/>
          <w:highlight w:val="none"/>
        </w:rPr>
        <w:t>16.1工程价款调整：</w:t>
      </w:r>
      <w:r>
        <w:rPr>
          <w:rFonts w:hint="eastAsia" w:ascii="宋体" w:hAnsi="宋体" w:cs="宋体"/>
          <w:b/>
          <w:color w:val="auto"/>
          <w:kern w:val="0"/>
          <w:sz w:val="24"/>
          <w:highlight w:val="none"/>
          <w:u w:val="single"/>
          <w:lang w:val="en-US" w:eastAsia="zh-CN"/>
        </w:rPr>
        <w:t>/</w:t>
      </w:r>
      <w:r>
        <w:rPr>
          <w:rFonts w:hint="eastAsia" w:ascii="宋体" w:hAnsi="宋体" w:cs="宋体"/>
          <w:b/>
          <w:color w:val="auto"/>
          <w:kern w:val="0"/>
          <w:sz w:val="24"/>
          <w:highlight w:val="none"/>
          <w:u w:val="single"/>
        </w:rPr>
        <w:t>。</w:t>
      </w:r>
    </w:p>
    <w:p>
      <w:pPr>
        <w:adjustRightInd w:val="0"/>
        <w:snapToGrid w:val="0"/>
        <w:spacing w:line="360" w:lineRule="auto"/>
        <w:ind w:firstLine="480" w:firstLineChars="200"/>
        <w:jc w:val="left"/>
        <w:rPr>
          <w:rFonts w:hint="eastAsia" w:ascii="宋体" w:hAnsi="宋体" w:cs="宋体"/>
          <w:b/>
          <w:color w:val="auto"/>
          <w:kern w:val="0"/>
          <w:sz w:val="24"/>
          <w:highlight w:val="none"/>
          <w:u w:val="single"/>
        </w:rPr>
      </w:pPr>
      <w:bookmarkStart w:id="21" w:name="_Toc520971073"/>
      <w:r>
        <w:rPr>
          <w:rFonts w:hint="eastAsia" w:ascii="宋体" w:hAnsi="宋体" w:cs="宋体"/>
          <w:color w:val="auto"/>
          <w:kern w:val="0"/>
          <w:sz w:val="24"/>
          <w:highlight w:val="none"/>
        </w:rPr>
        <w:t>17．投标报价的计价方法</w:t>
      </w:r>
    </w:p>
    <w:p>
      <w:pPr>
        <w:autoSpaceDE w:val="0"/>
        <w:autoSpaceDN w:val="0"/>
        <w:adjustRightInd w:val="0"/>
        <w:snapToGrid w:val="0"/>
        <w:spacing w:line="360" w:lineRule="auto"/>
        <w:ind w:firstLine="482" w:firstLineChars="200"/>
        <w:rPr>
          <w:rFonts w:hint="eastAsia" w:ascii="宋体" w:hAnsi="宋体" w:cs="宋体"/>
          <w:color w:val="auto"/>
          <w:kern w:val="0"/>
          <w:sz w:val="24"/>
          <w:highlight w:val="none"/>
        </w:rPr>
      </w:pPr>
      <w:r>
        <w:rPr>
          <w:rFonts w:hint="eastAsia" w:ascii="宋体" w:hAnsi="宋体" w:cs="宋体"/>
          <w:b/>
          <w:color w:val="auto"/>
          <w:kern w:val="0"/>
          <w:sz w:val="24"/>
          <w:highlight w:val="none"/>
          <w:u w:val="single"/>
        </w:rPr>
        <w:t>费用计算规则和项目指引，由招标人（发包人）提供工程量数量和标底，投标人（承包人）响应合同价的方式。</w:t>
      </w:r>
    </w:p>
    <w:p>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18．招标控制价</w:t>
      </w:r>
    </w:p>
    <w:p>
      <w:pPr>
        <w:adjustRightInd w:val="0"/>
        <w:snapToGrid w:val="0"/>
        <w:spacing w:line="360" w:lineRule="auto"/>
        <w:ind w:firstLine="480" w:firstLineChars="200"/>
        <w:jc w:val="left"/>
        <w:rPr>
          <w:rFonts w:hint="eastAsia" w:ascii="宋体" w:hAnsi="宋体" w:cs="宋体"/>
          <w:b/>
          <w:color w:val="auto"/>
          <w:kern w:val="0"/>
          <w:sz w:val="24"/>
          <w:highlight w:val="none"/>
        </w:rPr>
      </w:pPr>
      <w:r>
        <w:rPr>
          <w:rFonts w:hint="eastAsia" w:ascii="宋体" w:hAnsi="宋体" w:cs="宋体"/>
          <w:color w:val="auto"/>
          <w:kern w:val="0"/>
          <w:sz w:val="24"/>
          <w:highlight w:val="none"/>
        </w:rPr>
        <w:t>18.1本工程实行工程量清单招标，且编制招标控制价。</w:t>
      </w:r>
      <w:r>
        <w:rPr>
          <w:rFonts w:hint="eastAsia" w:ascii="宋体" w:hAnsi="宋体" w:cs="宋体"/>
          <w:b/>
          <w:color w:val="auto"/>
          <w:kern w:val="0"/>
          <w:sz w:val="24"/>
          <w:highlight w:val="none"/>
        </w:rPr>
        <w:t>投标人的投标报价高于招标控制最高限价的，招标人将视其为无效标处理。</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18.2招标控制价编制依据（见前附表）</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bCs/>
          <w:color w:val="auto"/>
          <w:kern w:val="0"/>
          <w:sz w:val="24"/>
          <w:highlight w:val="none"/>
          <w:u w:val="single"/>
        </w:rPr>
        <w:t>18.2.1</w:t>
      </w:r>
      <w:r>
        <w:rPr>
          <w:rFonts w:hint="eastAsia" w:ascii="宋体" w:hAnsi="宋体" w:cs="宋体"/>
          <w:b/>
          <w:color w:val="auto"/>
          <w:kern w:val="0"/>
          <w:sz w:val="24"/>
          <w:highlight w:val="none"/>
          <w:u w:val="single"/>
        </w:rPr>
        <w:t>编制说明：</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1、施工现场情况：以现场踏勘情况为准。</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2、交通运输情况：以现场踏勘情况为准。</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3、环境保护要求；满足省、市及当地政府对环境保护的相关要求和规定。</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4、本工程投标报价按《建设工程工程量清单计价规范》和相应计算规范的规定及要求，使用表格及格式按《建设工程工程量清单计价规范》要求执行。</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5、分部分项工程量清单中对工程项目的项目特征及做法制作描述，详细情况见施工图设计、技术说明及相关标准图集。组价时应结合投标人现场勘查情况包括完成所有工序工作内容的全部费用。</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6、投标人应充分考虑施工现场周边的实际情况对施工的影响，编制合理的施工方案，并作出报价。</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7、本工程量清单中未列的，而招标文件中要求列入报价的其他费用，由投标人增加列入总价措施项目清单与计价汇总表中，工程结算时不作调整。</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8、本工程量清单中未列的，而投标人认为为完成本工程所需的其它措施费用，由投标人增加列入总价措施项目清单与计价汇总表中，工程结算时不作调整。</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u w:val="single"/>
        </w:rPr>
        <w:t>9、本工程量清单应与施工图、招标文件、技术要求、技术规范等文件结合起来阅读，除设计变更外，招标人在工程量清单中未列明或项目特征描述不全，但投标人为满足招标人和设计图纸的要求而必须完成的工作，投标人应计入工程量清单相应子目中，工程结算时招标人不为此类项目另外支付费用。</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10.投标报价编制要求</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10.1.采用工程量清单计价方式，投标人不得采用总价让利或以总价百分比让利等办法进行投标报价。</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10.2.除投标人自行补充的措施项目外，投标报价的项目编码、项目名称、项目特征、计量单位、工程量必须与招标人提供的一致。</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10.3工程量清单中投标人没有填入单价或价格的子目，其费用视为已分摊在工程量清单中其他子目的单价或价格之中。</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10.6各项措施费及风险费：施工单位为满足施工要求所产生的其它单价措施费及风险费用均在该项自主报价，结算时不做调整。</w:t>
      </w:r>
    </w:p>
    <w:p>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10.7报价书中的工程数量乘以综合单价必须等于合价。如有误差，在结算时以综合单价金额小的为计算依据。</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10.8投标文件格式必须表式齐全，不能缺少综合单价分析表、主要材料价格表等附表，否则评标委员会可视为该投标函未按招标文件要求提供必要内容，属内容不全。</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10.9投标人确定投标报价，同时应考虑合同中包含的可预见和不可预见的所有风险、责任等，其费用由投标人自行考虑在报价中，结算时不作调整。</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pPr>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10.11中标人不得拒绝完成建设单位在施工地点范围内变更或要求增加和减少的工程内容。</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 xml:space="preserve">10.12请投标人综合考虑弃土点及处置方案，要求无公害化处置，不得造成环境污染。 </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10.13本工程中所有的建筑垃圾应集中收集后运至指定地点进行处置，投标人自行考虑运距，结算时综合单价不调整。</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10.14本工程应符合省、市关于扬尘污染防控的相关检查标准，做到裸土覆盖及无扬尘，所需的措施费用（如扬尘控制所需的设备，人工等等）应综合考虑在投标报价中，竣工结算时一律不作调整。</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10.15因政策调整、招标人缓建或取消等任何原因导致该项目全部或部分停止建设引起的风险费用等一切费用，由投标人自行承担，招标人不支付由此引起的任何费用及损失。</w:t>
      </w:r>
    </w:p>
    <w:p>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10.16投标响应报价中不得缺漏招标文件和工程量清单以及招标图纸所要求的全部内容，否则，被视为包含在投标报价中。</w:t>
      </w:r>
    </w:p>
    <w:p>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10.17请施工单位认真勘查现场，结合图纸，清单、编制说明，工程量清单中没有体现的，施工中必须发生的工程内容所需的费用由投标人自行考虑列入已有的清单报价中，一旦中标，此部分费用结算时不做任何调整。</w:t>
      </w:r>
    </w:p>
    <w:p>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10.18招标文件要求列入报价的其他费用：施工单位应在评估阶段自行进行现场核查，根据经验自行考虑报价，一旦中标，此部分费用结算时不做任何调整。</w:t>
      </w:r>
    </w:p>
    <w:p>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10.19所有措施及风险费：施工单位应在评估阶段进行现场核查，根据经验自行考虑报价，一旦中标，此部分费用结算时不做任何调整。</w:t>
      </w:r>
    </w:p>
    <w:p>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pPr>
        <w:autoSpaceDE w:val="0"/>
        <w:autoSpaceDN w:val="0"/>
        <w:adjustRightInd w:val="0"/>
        <w:snapToGrid w:val="0"/>
        <w:spacing w:line="360" w:lineRule="auto"/>
        <w:ind w:firstLine="482" w:firstLineChars="200"/>
        <w:rPr>
          <w:rFonts w:hint="eastAsia" w:ascii="宋体" w:hAnsi="宋体" w:cs="宋体"/>
          <w:bCs/>
          <w:color w:val="auto"/>
          <w:kern w:val="0"/>
          <w:sz w:val="24"/>
          <w:highlight w:val="none"/>
        </w:rPr>
      </w:pPr>
      <w:r>
        <w:rPr>
          <w:rFonts w:hint="eastAsia" w:ascii="宋体" w:hAnsi="宋体" w:cs="宋体"/>
          <w:b/>
          <w:color w:val="auto"/>
          <w:kern w:val="0"/>
          <w:sz w:val="24"/>
          <w:highlight w:val="none"/>
          <w:u w:val="single"/>
        </w:rPr>
        <w:t>10.21投标单位作为有经验的承包商，对工程技术及施工图纸中的问题应提前发现，并在开标前提出；如果承包人由于各种原因不提出或未及时提出而导致工程产生的质量、进度、安全、成本等问题及后果，承包人承担一切责任，竣工结算时一律不作调整。</w:t>
      </w:r>
    </w:p>
    <w:p>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10.22其他未尽事宜在书面答疑中明确。</w:t>
      </w:r>
    </w:p>
    <w:p>
      <w:pPr>
        <w:pStyle w:val="4"/>
        <w:adjustRightInd w:val="0"/>
        <w:snapToGrid w:val="0"/>
        <w:rPr>
          <w:rFonts w:hint="eastAsia" w:ascii="宋体" w:hAnsi="宋体" w:cs="宋体"/>
          <w:color w:val="auto"/>
          <w:kern w:val="0"/>
          <w:szCs w:val="28"/>
          <w:highlight w:val="none"/>
        </w:rPr>
      </w:pPr>
      <w:bookmarkStart w:id="22" w:name="_Toc48207454"/>
      <w:r>
        <w:rPr>
          <w:rFonts w:hint="eastAsia" w:ascii="宋体" w:hAnsi="宋体" w:cs="宋体"/>
          <w:color w:val="auto"/>
          <w:kern w:val="0"/>
          <w:szCs w:val="28"/>
          <w:highlight w:val="none"/>
        </w:rPr>
        <w:t>（五）投标文件的密封和递交</w:t>
      </w:r>
      <w:bookmarkEnd w:id="21"/>
      <w:bookmarkEnd w:id="22"/>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20.投标文件的密封与标志</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20.1投标文件分</w:t>
      </w:r>
      <w:r>
        <w:rPr>
          <w:rFonts w:hint="eastAsia" w:ascii="宋体" w:hAnsi="宋体" w:cs="宋体"/>
          <w:b/>
          <w:bCs/>
          <w:color w:val="auto"/>
          <w:kern w:val="0"/>
          <w:sz w:val="24"/>
          <w:highlight w:val="none"/>
          <w:u w:val="single"/>
        </w:rPr>
        <w:t>资格审查文件、商务技术文件、报价文件</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lang w:val="en-US" w:eastAsia="zh-CN"/>
        </w:rPr>
        <w:t>电子投标文件</w:t>
      </w:r>
      <w:r>
        <w:rPr>
          <w:rFonts w:hint="eastAsia" w:ascii="宋体" w:hAnsi="宋体" w:cs="宋体"/>
          <w:b w:val="0"/>
          <w:bCs w:val="0"/>
          <w:color w:val="auto"/>
          <w:kern w:val="0"/>
          <w:sz w:val="24"/>
          <w:highlight w:val="none"/>
          <w:u w:val="none"/>
          <w:lang w:val="en-US" w:eastAsia="zh-CN"/>
        </w:rPr>
        <w:t>四</w:t>
      </w:r>
      <w:r>
        <w:rPr>
          <w:rFonts w:hint="eastAsia" w:ascii="宋体" w:hAnsi="宋体" w:cs="宋体"/>
          <w:color w:val="auto"/>
          <w:kern w:val="0"/>
          <w:sz w:val="24"/>
          <w:highlight w:val="none"/>
        </w:rPr>
        <w:t>部分。投标人应准备</w:t>
      </w:r>
      <w:r>
        <w:rPr>
          <w:rFonts w:hint="eastAsia" w:ascii="宋体" w:hAnsi="宋体" w:cs="宋体"/>
          <w:b/>
          <w:bCs/>
          <w:color w:val="auto"/>
          <w:kern w:val="0"/>
          <w:sz w:val="24"/>
          <w:highlight w:val="none"/>
          <w:u w:val="single"/>
          <w:lang w:val="en-US" w:eastAsia="zh-CN"/>
        </w:rPr>
        <w:t>叁</w:t>
      </w:r>
      <w:r>
        <w:rPr>
          <w:rFonts w:hint="eastAsia" w:ascii="宋体" w:hAnsi="宋体" w:cs="宋体"/>
          <w:color w:val="auto"/>
          <w:kern w:val="0"/>
          <w:sz w:val="24"/>
          <w:highlight w:val="none"/>
        </w:rPr>
        <w:t>份完整的“资格审查文件”、“商务技术文件”</w:t>
      </w:r>
      <w:r>
        <w:rPr>
          <w:rFonts w:hint="eastAsia" w:ascii="宋体" w:hAnsi="宋体" w:cs="宋体"/>
          <w:color w:val="auto"/>
          <w:kern w:val="0"/>
          <w:sz w:val="24"/>
          <w:highlight w:val="none"/>
          <w:lang w:eastAsia="zh-CN"/>
        </w:rPr>
        <w:t>、“报价文件”</w:t>
      </w:r>
      <w:r>
        <w:rPr>
          <w:rFonts w:hint="eastAsia" w:ascii="宋体" w:hAnsi="宋体" w:cs="宋体"/>
          <w:color w:val="auto"/>
          <w:kern w:val="0"/>
          <w:sz w:val="24"/>
          <w:highlight w:val="none"/>
        </w:rPr>
        <w:t>，</w:t>
      </w:r>
      <w:r>
        <w:rPr>
          <w:rFonts w:hint="eastAsia" w:ascii="宋体" w:hAnsi="宋体" w:cs="宋体"/>
          <w:b/>
          <w:bCs/>
          <w:color w:val="auto"/>
          <w:kern w:val="0"/>
          <w:sz w:val="24"/>
          <w:highlight w:val="none"/>
        </w:rPr>
        <w:t>其中正本</w:t>
      </w:r>
      <w:r>
        <w:rPr>
          <w:rFonts w:hint="eastAsia" w:ascii="宋体" w:hAnsi="宋体" w:cs="宋体"/>
          <w:b/>
          <w:bCs/>
          <w:color w:val="auto"/>
          <w:kern w:val="0"/>
          <w:sz w:val="24"/>
          <w:highlight w:val="none"/>
          <w:u w:val="single"/>
        </w:rPr>
        <w:t>壹</w:t>
      </w:r>
      <w:r>
        <w:rPr>
          <w:rFonts w:hint="eastAsia" w:ascii="宋体" w:hAnsi="宋体" w:cs="宋体"/>
          <w:b/>
          <w:bCs/>
          <w:color w:val="auto"/>
          <w:kern w:val="0"/>
          <w:sz w:val="24"/>
          <w:highlight w:val="none"/>
        </w:rPr>
        <w:t>份，副本</w:t>
      </w:r>
      <w:r>
        <w:rPr>
          <w:rFonts w:hint="eastAsia" w:ascii="宋体" w:hAnsi="宋体" w:cs="宋体"/>
          <w:b/>
          <w:bCs/>
          <w:color w:val="auto"/>
          <w:kern w:val="0"/>
          <w:sz w:val="24"/>
          <w:highlight w:val="none"/>
          <w:u w:val="single"/>
          <w:lang w:val="en-US" w:eastAsia="zh-CN"/>
        </w:rPr>
        <w:t>贰</w:t>
      </w:r>
      <w:r>
        <w:rPr>
          <w:rFonts w:hint="eastAsia" w:ascii="宋体" w:hAnsi="宋体" w:cs="宋体"/>
          <w:b/>
          <w:bCs/>
          <w:color w:val="auto"/>
          <w:kern w:val="0"/>
          <w:sz w:val="24"/>
          <w:highlight w:val="none"/>
        </w:rPr>
        <w:t>份，</w:t>
      </w:r>
      <w:r>
        <w:rPr>
          <w:rFonts w:hint="eastAsia" w:ascii="宋体" w:hAnsi="宋体" w:cs="宋体"/>
          <w:color w:val="auto"/>
          <w:kern w:val="0"/>
          <w:sz w:val="24"/>
          <w:highlight w:val="none"/>
        </w:rPr>
        <w:t>并标明“正本”或“副本”字样，若有差异，概以“正本”为准。“电子投标文件”只需提供</w:t>
      </w:r>
      <w:r>
        <w:rPr>
          <w:rFonts w:hint="eastAsia" w:ascii="宋体" w:hAnsi="宋体" w:cs="宋体"/>
          <w:b/>
          <w:bCs/>
          <w:color w:val="auto"/>
          <w:kern w:val="0"/>
          <w:sz w:val="24"/>
          <w:highlight w:val="none"/>
          <w:u w:val="single"/>
        </w:rPr>
        <w:t>壹份</w:t>
      </w:r>
      <w:r>
        <w:rPr>
          <w:rFonts w:hint="eastAsia" w:ascii="宋体" w:hAnsi="宋体" w:cs="宋体"/>
          <w:color w:val="auto"/>
          <w:kern w:val="0"/>
          <w:sz w:val="24"/>
          <w:highlight w:val="none"/>
        </w:rPr>
        <w:t>。</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20.2投标文件中的资格审查文件部分（A4幅面）、商务技术文件（A4幅面）</w:t>
      </w:r>
      <w:r>
        <w:rPr>
          <w:rFonts w:hint="eastAsia" w:ascii="宋体" w:hAnsi="宋体" w:cs="宋体"/>
          <w:color w:val="auto"/>
          <w:kern w:val="0"/>
          <w:sz w:val="24"/>
          <w:highlight w:val="none"/>
          <w:lang w:eastAsia="zh-CN"/>
        </w:rPr>
        <w:t>、报价文件</w:t>
      </w:r>
      <w:r>
        <w:rPr>
          <w:rFonts w:hint="eastAsia" w:ascii="宋体" w:hAnsi="宋体" w:cs="宋体"/>
          <w:color w:val="auto"/>
          <w:kern w:val="0"/>
          <w:sz w:val="24"/>
          <w:highlight w:val="none"/>
        </w:rPr>
        <w:t>（A4幅面）、</w:t>
      </w:r>
      <w:r>
        <w:rPr>
          <w:rFonts w:hint="eastAsia" w:ascii="宋体" w:hAnsi="宋体" w:cs="宋体"/>
          <w:color w:val="auto"/>
          <w:kern w:val="0"/>
          <w:sz w:val="24"/>
          <w:highlight w:val="none"/>
          <w:lang w:eastAsia="zh-CN"/>
        </w:rPr>
        <w:t>电子投标文件</w:t>
      </w:r>
      <w:r>
        <w:rPr>
          <w:rFonts w:hint="eastAsia" w:ascii="宋体" w:hAnsi="宋体" w:cs="宋体"/>
          <w:color w:val="auto"/>
          <w:kern w:val="0"/>
          <w:sz w:val="24"/>
          <w:highlight w:val="none"/>
        </w:rPr>
        <w:t>应分开封装，并各自密封在一个封袋内。所有封袋上（最外面）都应写明“资格审查文件”、“商务技术文件”</w:t>
      </w:r>
      <w:r>
        <w:rPr>
          <w:rFonts w:hint="eastAsia" w:ascii="宋体" w:hAnsi="宋体" w:cs="宋体"/>
          <w:color w:val="auto"/>
          <w:kern w:val="0"/>
          <w:sz w:val="24"/>
          <w:highlight w:val="none"/>
          <w:lang w:eastAsia="zh-CN"/>
        </w:rPr>
        <w:t>、“报价文件”、“电子投标文件”</w:t>
      </w:r>
      <w:r>
        <w:rPr>
          <w:rFonts w:hint="eastAsia" w:ascii="宋体" w:hAnsi="宋体" w:cs="宋体"/>
          <w:color w:val="auto"/>
          <w:kern w:val="0"/>
          <w:sz w:val="24"/>
          <w:highlight w:val="none"/>
        </w:rPr>
        <w:t>，同时</w:t>
      </w:r>
      <w:r>
        <w:rPr>
          <w:rFonts w:hint="eastAsia" w:ascii="宋体" w:hAnsi="宋体" w:cs="宋体"/>
          <w:color w:val="auto"/>
          <w:kern w:val="0"/>
          <w:sz w:val="24"/>
          <w:highlight w:val="none"/>
          <w:lang w:val="en-US" w:eastAsia="zh-CN"/>
        </w:rPr>
        <w:t>写明</w:t>
      </w:r>
      <w:r>
        <w:rPr>
          <w:rFonts w:hint="eastAsia" w:ascii="宋体" w:hAnsi="宋体" w:cs="宋体"/>
          <w:color w:val="auto"/>
          <w:kern w:val="0"/>
          <w:sz w:val="24"/>
          <w:highlight w:val="none"/>
        </w:rPr>
        <w:t>投标单位名称、工程名称，并在封袋骑缝处加盖投标单位公章。</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20.3投标人未按上述规定提交投标文件，其投标文件将被拒绝，并退还给投标人。</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21.投标文件递交</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pPr>
        <w:pStyle w:val="2"/>
        <w:tabs>
          <w:tab w:val="left" w:pos="0"/>
        </w:tabs>
        <w:adjustRightInd w:val="0"/>
        <w:snapToGrid w:val="0"/>
        <w:ind w:firstLine="484" w:firstLineChars="202"/>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21.2投标文件的递交方式：投标单位应在投标须知中规定的时间之前由法定代表人或其委托代理人到指定地点亲自将投标文件递交给招标人。</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22.投标文件的修改与撤回</w:t>
      </w:r>
    </w:p>
    <w:p>
      <w:pPr>
        <w:pStyle w:val="2"/>
        <w:adjustRightInd w:val="0"/>
        <w:snapToGrid w:val="0"/>
        <w:ind w:firstLine="484" w:firstLineChars="202"/>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22.1投标单位可以在递交投标文件以后，在规定的投标文件递交截止日期之前，以书面形式向招标人递交修改或撤回其投标文件的通知。在投标文件递交截止日期以后，不得更改投标文件。</w:t>
      </w:r>
    </w:p>
    <w:p>
      <w:pPr>
        <w:pStyle w:val="2"/>
        <w:adjustRightInd w:val="0"/>
        <w:snapToGrid w:val="0"/>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22.2投标单位的修改或撤回通知，应按本文件第二十、二十一条规定的要求编制、密封、标志和递交（密封袋上应标明“修改”或“撤回”字样）。</w:t>
      </w:r>
    </w:p>
    <w:p>
      <w:pPr>
        <w:pStyle w:val="2"/>
        <w:adjustRightInd w:val="0"/>
        <w:snapToGrid w:val="0"/>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22.3投标文件递交截止以后，在评标确定中标施工方前，投标单位不得撤回其投标文件，否则其投标保证金将被没收。</w:t>
      </w:r>
      <w:bookmarkStart w:id="23" w:name="_Toc520971074"/>
    </w:p>
    <w:p>
      <w:pPr>
        <w:pStyle w:val="4"/>
        <w:adjustRightInd w:val="0"/>
        <w:snapToGrid w:val="0"/>
        <w:rPr>
          <w:rFonts w:hint="eastAsia" w:ascii="宋体" w:hAnsi="宋体" w:cs="宋体"/>
          <w:color w:val="auto"/>
          <w:kern w:val="0"/>
          <w:szCs w:val="28"/>
          <w:highlight w:val="none"/>
        </w:rPr>
      </w:pPr>
      <w:bookmarkStart w:id="24" w:name="_Toc48207455"/>
      <w:r>
        <w:rPr>
          <w:rFonts w:hint="eastAsia" w:ascii="宋体" w:hAnsi="宋体" w:cs="宋体"/>
          <w:color w:val="auto"/>
          <w:kern w:val="0"/>
          <w:szCs w:val="28"/>
          <w:highlight w:val="none"/>
        </w:rPr>
        <w:t>（六）开标、评标</w:t>
      </w:r>
      <w:bookmarkEnd w:id="23"/>
      <w:bookmarkEnd w:id="24"/>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23.本工程评标办法采用下列</w:t>
      </w:r>
      <w:r>
        <w:rPr>
          <w:rFonts w:hint="eastAsia" w:ascii="宋体" w:hAnsi="宋体" w:cs="宋体"/>
          <w:color w:val="auto"/>
          <w:kern w:val="0"/>
          <w:sz w:val="24"/>
          <w:highlight w:val="none"/>
          <w:u w:val="single"/>
        </w:rPr>
        <w:t>23.</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rPr>
        <w:t>种方式</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23.1价格单因素评标办法</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23.2含施工组织设计的价格单因素评标方法</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23.3综合评估法</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25．评标委员会</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评标由招标人依法组建的评标委员会负责。评标委员会由有关技术、经济等方面的专家组成。</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评标委员会成员人数以及技术、经济等方面专家的确定方式见投标人须知前附表。</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招标代理机构的人员不得担任其代理招标项目的评标委员会成员。</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26.评标委员会应当审查每一投标文件是否对招标文件提出的所有实质性要求和条件作出响应。</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27.招标文件未明列的无效标条款,不得作为否决投标、判定无效标的依据。凡投标文件有下列情况之一的，属于重大偏差，视同未能对招标文件作出实质性响应，按无效标处理。</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（一）投标文件中的投标函未加盖投标人的公章；</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（二）投标文件中的投标函未加盖企业法定代表人（或企业法定代表人委托代理人）印章（或签字）的；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（三）投标函加盖企业法定代表人委托代理人印章（或签字），企业法定代表人委托代理人没有合法、有效的委托书（原件）的；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（四）投标人资质条件不符合国家有关规定，或者不满足招标文件规定的资格条件的；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（五）投标人名称或组织结构与资格预审时不一致的；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（六）组成联合体投标未提供联合体各方共同投标协议的；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（七）在同一招标项目中，联合体成员以自己名义单独投标或者参加其他联合体投标的；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（八）联合体成员与资格预审确定的结果不一致的；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（九）投标报价低于工程成本或者高于招标文件设定的招标控制价或者招标人设置的投标限价的；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（十）同一投标人提交两个及以上不同的投标文件或者投标报价，但招标文件要求提交备选投标的除外；</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（十一）投标文件中已标价工程量清单与招标文件规定的暂估价、暂列金额（如有）及甲供材料价格不一致的；投标文件中暂估综合单价与招标文件中规定的暂估综合单价不一致的；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（十二）投标文件中已标价工程量清单与招标文件明确列出的不可竞争费用项目或费率或计算基础不一致的；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（十三）投标文件的已标价工程量清单与招标文件提供的工程量清单中的项目编码、项目名称、项目特征、计量单位、工程量不一致的；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（十四）未按招标文件要求提供投标保证金的；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（十五）投标文件载明的招标项目完成期限超过招标文件规定的期限的；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（十六）明显不符合技术规范、技术标准的要求的；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（十七）投标文件载明的货物包装方式、检验标准和方法等不符合招标文件的要求的；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（十八）投标文件提出了不能满足招标文件要求或招标人不能接受的工程验收、计量、价款结算和支付办法的；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（十九）未按招标文件要求提供电子投标文件，或者投标文件未能解密且按照招标文件明确的投标文件解密失败的补救方案补救不成功的；</w:t>
      </w:r>
    </w:p>
    <w:p>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（二十）不同投标人的投标文件以及投标文件制作过程出现了评标委员会认为不应当雷同的情况的；</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(二十一)以他人的名义投标、串通投标、以行贿手段谋取中标或者以其他弄虚作假方式投标的；</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有下列情形之一的，属于投标人互相串通投标：</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1.投标人之间协商投标报价等投标文件的实质性内容；</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2.投标人之间约定中标人；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3.投标人之间约定部分投标人放弃投标或者中标；</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4.属于同一集团、协会、商会等组织成员的投标人按照改该组织要求协同投标；</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5.投标人之间为谋取中标或者排斥特定投标人而采取的其他联合行动。</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投标人在投标过程中有下列情形之一的，视为投标人相互串通投标：</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1.不同投标人的投标文件由同一单位或者个人编制；</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2.不同投标人委托同一单位或者个人办理投标事宜；</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3.不同投标人的投标文件载明的项目管理成员为同一人；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4.不同投标人的投标文件异常一致或者投标报价呈规律性差异；</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5.不同投标人的投标文件相互混装；</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6.不同投标人的投标保证金从同一单位或者个人的账户转出。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有下列情形之一的，属于招标人与投标人串通投标：</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1.招标人在开标前开启投标文件并将有关信息泄露给其他投标人；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2.招标人直接或者间接向投标人泄露标底、评标委员会成员等信息；</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3.招标人明示或者暗示投标人压低或者抬高投标报价；</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4.招标人授意投标人撤换、修改投标文件；</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5.招标人明示或者暗示投标人为特定投标人中标提供方便；</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6.招标人与投标人为谋求特定投标人中标而采取的其他串通行为。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投标人有下列情形之一的，属于招标投标法第三十三条规定的以其他方式弄虚作假的行为：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1.使用伪造、变造的许可证件；</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2.提供虚假的业绩；</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3.提供虚假的项目负责人或者主要技术人员简历、劳动关系证明；</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4.提供虚假的信用状况；</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5.其他弄虚作假的行为。”</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bCs/>
          <w:color w:val="auto"/>
          <w:kern w:val="0"/>
          <w:sz w:val="24"/>
          <w:highlight w:val="none"/>
        </w:rPr>
        <w:t>凡投标文件有以上情况的，属于重大偏差，视同未能对招标文件作出实质性响应，按无效标处理。</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（二十二）施工组织设计（施工方案）存在明显技术方案错误、或者不符合招标文件有关暗标要求的；</w:t>
      </w:r>
    </w:p>
    <w:p>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pPr>
        <w:adjustRightInd w:val="0"/>
        <w:snapToGrid w:val="0"/>
        <w:spacing w:line="360" w:lineRule="auto"/>
        <w:ind w:firstLine="480" w:firstLineChars="200"/>
        <w:rPr>
          <w:rFonts w:hint="eastAsia" w:ascii="宋体" w:hAnsi="宋体" w:cs="宋体"/>
          <w:b/>
          <w:color w:val="auto"/>
          <w:kern w:val="0"/>
          <w:sz w:val="24"/>
          <w:highlight w:val="none"/>
        </w:rPr>
      </w:pPr>
      <w:r>
        <w:rPr>
          <w:rFonts w:hint="eastAsia" w:ascii="宋体" w:hAnsi="宋体" w:cs="宋体"/>
          <w:color w:val="auto"/>
          <w:kern w:val="0"/>
          <w:sz w:val="24"/>
          <w:highlight w:val="none"/>
        </w:rPr>
        <w:t>28.投标文件的澄清</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30.在投标文件的审查、澄清、评价和比较以及授予合同的过程中，投标人对招标人和评标组织成员施加影响的任何行为，都将导致取消其中标资格。</w:t>
      </w:r>
    </w:p>
    <w:p>
      <w:pPr>
        <w:adjustRightInd w:val="0"/>
        <w:snapToGrid w:val="0"/>
        <w:spacing w:line="360" w:lineRule="auto"/>
        <w:ind w:firstLine="480" w:firstLineChars="200"/>
        <w:jc w:val="left"/>
        <w:rPr>
          <w:rFonts w:hint="eastAsia" w:ascii="宋体" w:hAnsi="宋体" w:cs="宋体"/>
          <w:color w:val="auto"/>
          <w:kern w:val="0"/>
          <w:sz w:val="24"/>
          <w:highlight w:val="none"/>
        </w:rPr>
      </w:pPr>
      <w:bookmarkStart w:id="25" w:name="_Toc520971075"/>
      <w:bookmarkStart w:id="26" w:name="_Toc48207456"/>
      <w:r>
        <w:rPr>
          <w:rFonts w:hint="eastAsia" w:ascii="宋体" w:hAnsi="宋体" w:cs="宋体"/>
          <w:color w:val="auto"/>
          <w:kern w:val="0"/>
          <w:sz w:val="24"/>
          <w:highlight w:val="none"/>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pPr>
        <w:pStyle w:val="4"/>
        <w:adjustRightInd w:val="0"/>
        <w:snapToGrid w:val="0"/>
        <w:rPr>
          <w:rFonts w:hint="eastAsia" w:ascii="宋体" w:hAnsi="宋体" w:cs="宋体"/>
          <w:color w:val="auto"/>
          <w:kern w:val="0"/>
          <w:szCs w:val="28"/>
          <w:highlight w:val="none"/>
        </w:rPr>
      </w:pPr>
      <w:r>
        <w:rPr>
          <w:rFonts w:hint="eastAsia" w:ascii="宋体" w:hAnsi="宋体" w:cs="宋体"/>
          <w:color w:val="auto"/>
          <w:kern w:val="0"/>
          <w:szCs w:val="28"/>
          <w:highlight w:val="none"/>
        </w:rPr>
        <w:t>（七）授予合同</w:t>
      </w:r>
      <w:bookmarkEnd w:id="25"/>
      <w:bookmarkEnd w:id="26"/>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32.招标人和中标人应当自中标通知书发出之日起</w:t>
      </w:r>
      <w:r>
        <w:rPr>
          <w:rFonts w:hint="eastAsia" w:ascii="宋体" w:hAnsi="宋体" w:cs="宋体"/>
          <w:b/>
          <w:bCs/>
          <w:color w:val="auto"/>
          <w:kern w:val="0"/>
          <w:sz w:val="24"/>
          <w:highlight w:val="none"/>
          <w:u w:val="single"/>
          <w:lang w:val="en-US" w:eastAsia="zh-CN"/>
        </w:rPr>
        <w:t>1</w:t>
      </w:r>
      <w:r>
        <w:rPr>
          <w:rFonts w:hint="eastAsia" w:ascii="宋体" w:hAnsi="宋体" w:cs="宋体"/>
          <w:b/>
          <w:bCs/>
          <w:color w:val="auto"/>
          <w:kern w:val="0"/>
          <w:sz w:val="24"/>
          <w:highlight w:val="none"/>
          <w:u w:val="single"/>
        </w:rPr>
        <w:t>0日</w:t>
      </w:r>
      <w:r>
        <w:rPr>
          <w:rFonts w:hint="eastAsia" w:ascii="宋体" w:hAnsi="宋体" w:cs="宋体"/>
          <w:color w:val="auto"/>
          <w:kern w:val="0"/>
          <w:sz w:val="24"/>
          <w:highlight w:val="none"/>
        </w:rPr>
        <w:t>内，按照招标文件和中标人的投标文件订立书面合同。招标人和中标人不得再订立背离合同实质性内容的其他协议。</w:t>
      </w:r>
    </w:p>
    <w:p>
      <w:pPr>
        <w:adjustRightInd w:val="0"/>
        <w:snapToGrid w:val="0"/>
        <w:spacing w:line="360" w:lineRule="auto"/>
        <w:ind w:firstLine="480" w:firstLineChars="200"/>
        <w:rPr>
          <w:rFonts w:hint="eastAsia" w:ascii="宋体" w:hAnsi="宋体" w:cs="宋体"/>
          <w:color w:val="auto"/>
          <w:kern w:val="0"/>
          <w:sz w:val="24"/>
          <w:highlight w:val="none"/>
        </w:rPr>
      </w:pPr>
      <w:bookmarkStart w:id="27" w:name="_Toc48207457"/>
      <w:bookmarkStart w:id="28" w:name="_Toc520971076"/>
      <w:r>
        <w:rPr>
          <w:rFonts w:hint="eastAsia" w:ascii="宋体" w:hAnsi="宋体" w:cs="宋体"/>
          <w:color w:val="auto"/>
          <w:kern w:val="0"/>
          <w:sz w:val="24"/>
          <w:highlight w:val="none"/>
        </w:rPr>
        <w:t>33.</w:t>
      </w:r>
      <w:r>
        <w:rPr>
          <w:rFonts w:hint="eastAsia" w:ascii="宋体" w:hAnsi="宋体" w:cs="宋体"/>
          <w:bCs/>
          <w:color w:val="auto"/>
          <w:kern w:val="0"/>
          <w:sz w:val="24"/>
          <w:highlight w:val="none"/>
        </w:rPr>
        <w:t>中标公示期结束后</w:t>
      </w:r>
      <w:r>
        <w:rPr>
          <w:rFonts w:hint="eastAsia" w:ascii="宋体" w:hAnsi="宋体" w:cs="宋体"/>
          <w:bCs/>
          <w:color w:val="auto"/>
          <w:kern w:val="0"/>
          <w:sz w:val="24"/>
          <w:highlight w:val="none"/>
          <w:u w:val="single"/>
        </w:rPr>
        <w:t xml:space="preserve">  7  </w:t>
      </w:r>
      <w:r>
        <w:rPr>
          <w:rFonts w:hint="eastAsia" w:ascii="宋体" w:hAnsi="宋体" w:cs="宋体"/>
          <w:bCs/>
          <w:color w:val="auto"/>
          <w:kern w:val="0"/>
          <w:sz w:val="24"/>
          <w:highlight w:val="none"/>
        </w:rPr>
        <w:t>天内，</w:t>
      </w:r>
      <w:r>
        <w:rPr>
          <w:rFonts w:hint="eastAsia" w:ascii="宋体" w:hAnsi="宋体" w:cs="宋体"/>
          <w:color w:val="auto"/>
          <w:kern w:val="0"/>
          <w:sz w:val="24"/>
          <w:highlight w:val="none"/>
        </w:rPr>
        <w:t>中标人应按本须知前附表第35项规定的金额向招标人提交履约担保，担保的形式为</w:t>
      </w:r>
      <w:r>
        <w:rPr>
          <w:rFonts w:hint="eastAsia" w:ascii="宋体" w:hAnsi="宋体" w:cs="宋体"/>
          <w:b/>
          <w:bCs/>
          <w:color w:val="auto"/>
          <w:kern w:val="0"/>
          <w:sz w:val="24"/>
          <w:highlight w:val="none"/>
          <w:u w:val="single"/>
        </w:rPr>
        <w:t>银行转账</w:t>
      </w:r>
      <w:r>
        <w:rPr>
          <w:rFonts w:hint="eastAsia" w:ascii="宋体" w:hAnsi="宋体" w:cs="宋体"/>
          <w:color w:val="auto"/>
          <w:kern w:val="0"/>
          <w:sz w:val="24"/>
          <w:highlight w:val="none"/>
        </w:rPr>
        <w:t>。</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34.若中标人不能按本须知第32、33条款的规定执行，招标人将有充分的理由解除合同，取消中标单位中标资格，并没收其投标保证金，给招标人造成损失超过投标保证金数额的，还应当对超过部分予以赔偿。</w:t>
      </w:r>
    </w:p>
    <w:p>
      <w:pPr>
        <w:adjustRightInd w:val="0"/>
        <w:snapToGrid w:val="0"/>
        <w:spacing w:line="360" w:lineRule="auto"/>
        <w:ind w:firstLine="480" w:firstLineChars="200"/>
        <w:rPr>
          <w:rFonts w:hint="eastAsia" w:ascii="宋体" w:hAnsi="宋体" w:cs="宋体"/>
          <w:b/>
          <w:color w:val="auto"/>
          <w:kern w:val="0"/>
          <w:sz w:val="24"/>
          <w:highlight w:val="none"/>
        </w:rPr>
      </w:pPr>
      <w:r>
        <w:rPr>
          <w:rFonts w:hint="eastAsia" w:ascii="宋体" w:hAnsi="宋体" w:cs="宋体"/>
          <w:color w:val="auto"/>
          <w:kern w:val="0"/>
          <w:sz w:val="24"/>
          <w:highlight w:val="none"/>
        </w:rPr>
        <w:t>35.</w:t>
      </w:r>
      <w:r>
        <w:rPr>
          <w:rFonts w:hint="eastAsia" w:ascii="宋体" w:hAnsi="宋体" w:cs="宋体"/>
          <w:b/>
          <w:color w:val="auto"/>
          <w:kern w:val="0"/>
          <w:sz w:val="24"/>
          <w:highlight w:val="none"/>
        </w:rPr>
        <w:t>履约保证金必须在中标公示期结束后</w:t>
      </w:r>
      <w:r>
        <w:rPr>
          <w:rFonts w:hint="eastAsia" w:ascii="宋体" w:hAnsi="宋体" w:cs="宋体"/>
          <w:b/>
          <w:color w:val="auto"/>
          <w:kern w:val="0"/>
          <w:sz w:val="24"/>
          <w:highlight w:val="none"/>
          <w:u w:val="single"/>
        </w:rPr>
        <w:t xml:space="preserve"> 7 </w:t>
      </w:r>
      <w:r>
        <w:rPr>
          <w:rFonts w:hint="eastAsia" w:ascii="宋体" w:hAnsi="宋体" w:cs="宋体"/>
          <w:b/>
          <w:color w:val="auto"/>
          <w:kern w:val="0"/>
          <w:sz w:val="24"/>
          <w:highlight w:val="none"/>
        </w:rPr>
        <w:t>天内缴纳至招标人指定账户，若因为履约保证金缴纳延后影响合同签订时间超过有效期的，招标人有权取消中标资格。</w:t>
      </w:r>
    </w:p>
    <w:p>
      <w:pPr>
        <w:adjustRightInd w:val="0"/>
        <w:snapToGrid w:val="0"/>
        <w:spacing w:line="360" w:lineRule="auto"/>
        <w:ind w:firstLine="480" w:firstLineChars="200"/>
        <w:jc w:val="left"/>
        <w:rPr>
          <w:color w:val="auto"/>
          <w:kern w:val="44"/>
          <w:highlight w:val="none"/>
        </w:rPr>
      </w:pPr>
      <w:r>
        <w:rPr>
          <w:rFonts w:hint="eastAsia" w:ascii="宋体" w:hAnsi="宋体" w:cs="宋体"/>
          <w:color w:val="auto"/>
          <w:kern w:val="0"/>
          <w:sz w:val="24"/>
          <w:highlight w:val="none"/>
        </w:rPr>
        <w:t>36.中标人在中标后或施工期间不得随意变更中标项目负责人。如果出现特殊情况，确需更换的，应当经招标人同意，并提供必要的证明文件。</w:t>
      </w:r>
    </w:p>
    <w:p>
      <w:pPr>
        <w:pStyle w:val="3"/>
        <w:adjustRightInd w:val="0"/>
        <w:snapToGrid w:val="0"/>
        <w:rPr>
          <w:rFonts w:hint="eastAsia" w:ascii="宋体" w:hAnsi="宋体" w:cs="宋体"/>
          <w:color w:val="auto"/>
          <w:kern w:val="0"/>
          <w:highlight w:val="none"/>
        </w:rPr>
      </w:pPr>
      <w:r>
        <w:rPr>
          <w:rFonts w:hint="eastAsia" w:ascii="宋体" w:hAnsi="宋体" w:cs="宋体"/>
          <w:color w:val="auto"/>
          <w:kern w:val="0"/>
          <w:highlight w:val="none"/>
        </w:rPr>
        <w:br w:type="page"/>
      </w:r>
      <w:r>
        <w:rPr>
          <w:rFonts w:hint="eastAsia" w:ascii="宋体" w:hAnsi="宋体" w:cs="宋体"/>
          <w:color w:val="auto"/>
          <w:kern w:val="0"/>
          <w:highlight w:val="none"/>
        </w:rPr>
        <w:t>第二章 评标办法</w:t>
      </w:r>
      <w:bookmarkEnd w:id="27"/>
      <w:bookmarkEnd w:id="28"/>
      <w:r>
        <w:rPr>
          <w:rFonts w:hint="eastAsia" w:ascii="宋体" w:hAnsi="宋体" w:cs="宋体"/>
          <w:color w:val="auto"/>
          <w:kern w:val="0"/>
          <w:highlight w:val="none"/>
        </w:rPr>
        <w:t>（综合评估法）</w:t>
      </w:r>
    </w:p>
    <w:tbl>
      <w:tblPr>
        <w:tblStyle w:val="61"/>
        <w:tblW w:w="9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1"/>
        <w:gridCol w:w="9"/>
        <w:gridCol w:w="1584"/>
        <w:gridCol w:w="707"/>
        <w:gridCol w:w="924"/>
        <w:gridCol w:w="619"/>
        <w:gridCol w:w="4304"/>
        <w:gridCol w:w="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9404" w:type="dxa"/>
            <w:gridSpan w:val="8"/>
            <w:noWrap w:val="0"/>
            <w:vAlign w:val="center"/>
          </w:tcPr>
          <w:p>
            <w:pPr>
              <w:widowControl w:val="0"/>
              <w:spacing w:line="360" w:lineRule="auto"/>
              <w:jc w:val="center"/>
              <w:rPr>
                <w:rStyle w:val="123"/>
                <w:rFonts w:cs="宋体"/>
                <w:b/>
                <w:color w:val="auto"/>
                <w:kern w:val="0"/>
                <w:sz w:val="21"/>
                <w:szCs w:val="21"/>
                <w:highlight w:val="none"/>
              </w:rPr>
            </w:pPr>
            <w:bookmarkStart w:id="29" w:name="_Toc520971077"/>
            <w:bookmarkStart w:id="30" w:name="_Toc183492386"/>
            <w:bookmarkStart w:id="31" w:name="_Toc351203652"/>
            <w:r>
              <w:rPr>
                <w:rStyle w:val="123"/>
                <w:rFonts w:cs="宋体"/>
                <w:b/>
                <w:color w:val="auto"/>
                <w:kern w:val="0"/>
                <w:sz w:val="21"/>
                <w:szCs w:val="21"/>
                <w:highlight w:val="none"/>
              </w:rPr>
              <w:t>评标入围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noWrap w:val="0"/>
            <w:vAlign w:val="center"/>
          </w:tcPr>
          <w:p>
            <w:pPr>
              <w:widowControl w:val="0"/>
              <w:spacing w:line="360" w:lineRule="auto"/>
              <w:jc w:val="center"/>
              <w:rPr>
                <w:rStyle w:val="123"/>
                <w:rFonts w:cs="宋体"/>
                <w:b/>
                <w:color w:val="auto"/>
                <w:kern w:val="0"/>
                <w:sz w:val="21"/>
                <w:szCs w:val="21"/>
                <w:highlight w:val="none"/>
              </w:rPr>
            </w:pPr>
            <w:r>
              <w:rPr>
                <w:rStyle w:val="123"/>
                <w:rFonts w:cs="宋体"/>
                <w:b/>
                <w:color w:val="auto"/>
                <w:kern w:val="0"/>
                <w:sz w:val="21"/>
                <w:szCs w:val="21"/>
                <w:highlight w:val="none"/>
              </w:rPr>
              <w:t>条款号</w:t>
            </w:r>
          </w:p>
        </w:tc>
        <w:tc>
          <w:tcPr>
            <w:tcW w:w="1584" w:type="dxa"/>
            <w:noWrap w:val="0"/>
            <w:vAlign w:val="center"/>
          </w:tcPr>
          <w:p>
            <w:pPr>
              <w:widowControl w:val="0"/>
              <w:spacing w:line="360" w:lineRule="auto"/>
              <w:jc w:val="center"/>
              <w:rPr>
                <w:rStyle w:val="123"/>
                <w:rFonts w:cs="宋体"/>
                <w:b/>
                <w:color w:val="auto"/>
                <w:kern w:val="0"/>
                <w:sz w:val="21"/>
                <w:szCs w:val="21"/>
                <w:highlight w:val="none"/>
              </w:rPr>
            </w:pPr>
            <w:r>
              <w:rPr>
                <w:rStyle w:val="123"/>
                <w:rFonts w:cs="宋体"/>
                <w:b/>
                <w:color w:val="auto"/>
                <w:kern w:val="0"/>
                <w:sz w:val="21"/>
                <w:szCs w:val="21"/>
                <w:highlight w:val="none"/>
              </w:rPr>
              <w:t>评审因素</w:t>
            </w:r>
          </w:p>
        </w:tc>
        <w:tc>
          <w:tcPr>
            <w:tcW w:w="7110" w:type="dxa"/>
            <w:gridSpan w:val="5"/>
            <w:noWrap w:val="0"/>
            <w:vAlign w:val="center"/>
          </w:tcPr>
          <w:p>
            <w:pPr>
              <w:widowControl w:val="0"/>
              <w:spacing w:line="360" w:lineRule="auto"/>
              <w:jc w:val="center"/>
              <w:rPr>
                <w:rStyle w:val="123"/>
                <w:rFonts w:cs="宋体"/>
                <w:b/>
                <w:color w:val="auto"/>
                <w:kern w:val="0"/>
                <w:sz w:val="21"/>
                <w:szCs w:val="21"/>
                <w:highlight w:val="none"/>
              </w:rPr>
            </w:pPr>
            <w:r>
              <w:rPr>
                <w:rStyle w:val="123"/>
                <w:rFonts w:cs="宋体"/>
                <w:b/>
                <w:color w:val="auto"/>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2.1.1</w:t>
            </w:r>
          </w:p>
        </w:tc>
        <w:tc>
          <w:tcPr>
            <w:tcW w:w="1584" w:type="dxa"/>
            <w:noWrap w:val="0"/>
            <w:vAlign w:val="center"/>
          </w:tcPr>
          <w:p>
            <w:pPr>
              <w:widowControl w:val="0"/>
              <w:spacing w:line="360" w:lineRule="auto"/>
              <w:ind w:right="-20"/>
              <w:jc w:val="center"/>
              <w:rPr>
                <w:rStyle w:val="123"/>
                <w:rFonts w:cs="宋体"/>
                <w:color w:val="auto"/>
                <w:kern w:val="0"/>
                <w:sz w:val="21"/>
                <w:szCs w:val="21"/>
                <w:highlight w:val="none"/>
              </w:rPr>
            </w:pPr>
            <w:r>
              <w:rPr>
                <w:rStyle w:val="123"/>
                <w:rFonts w:cs="宋体"/>
                <w:color w:val="auto"/>
                <w:kern w:val="0"/>
                <w:sz w:val="21"/>
                <w:szCs w:val="21"/>
                <w:highlight w:val="none"/>
              </w:rPr>
              <w:t>评标入围条件</w:t>
            </w:r>
          </w:p>
        </w:tc>
        <w:tc>
          <w:tcPr>
            <w:tcW w:w="7110" w:type="dxa"/>
            <w:gridSpan w:val="5"/>
            <w:noWrap w:val="0"/>
            <w:vAlign w:val="center"/>
          </w:tcPr>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投标文件存在所列情况之一的，不再进行后续评标：</w:t>
            </w:r>
          </w:p>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至投标截止时间止，未足额递交投标保证金；</w:t>
            </w:r>
          </w:p>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投标函中载明的招标项目完成期限超过招标文件规定的期限；</w:t>
            </w:r>
          </w:p>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投标函中载明的投标质量标准未响应招标文件的实质性要求和条件；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2.1.2</w:t>
            </w:r>
          </w:p>
        </w:tc>
        <w:tc>
          <w:tcPr>
            <w:tcW w:w="1584" w:type="dxa"/>
            <w:noWrap w:val="0"/>
            <w:vAlign w:val="center"/>
          </w:tcPr>
          <w:p>
            <w:pPr>
              <w:widowControl w:val="0"/>
              <w:spacing w:line="360" w:lineRule="auto"/>
              <w:ind w:right="-20"/>
              <w:jc w:val="center"/>
              <w:rPr>
                <w:rStyle w:val="123"/>
                <w:rFonts w:cs="宋体"/>
                <w:color w:val="auto"/>
                <w:kern w:val="0"/>
                <w:sz w:val="21"/>
                <w:szCs w:val="21"/>
                <w:highlight w:val="none"/>
              </w:rPr>
            </w:pPr>
            <w:r>
              <w:rPr>
                <w:rStyle w:val="123"/>
                <w:rFonts w:cs="宋体"/>
                <w:color w:val="auto"/>
                <w:kern w:val="0"/>
                <w:sz w:val="21"/>
                <w:szCs w:val="21"/>
                <w:highlight w:val="none"/>
              </w:rPr>
              <w:t>评标入围方法和数量</w:t>
            </w:r>
          </w:p>
        </w:tc>
        <w:tc>
          <w:tcPr>
            <w:tcW w:w="7110" w:type="dxa"/>
            <w:gridSpan w:val="5"/>
            <w:noWrap w:val="0"/>
            <w:vAlign w:val="center"/>
          </w:tcPr>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评标入围方法：全部入围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9404" w:type="dxa"/>
            <w:gridSpan w:val="8"/>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初步评审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2294" w:type="dxa"/>
            <w:gridSpan w:val="3"/>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条款号</w:t>
            </w:r>
          </w:p>
        </w:tc>
        <w:tc>
          <w:tcPr>
            <w:tcW w:w="2250" w:type="dxa"/>
            <w:gridSpan w:val="3"/>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评审因素</w:t>
            </w:r>
          </w:p>
        </w:tc>
        <w:tc>
          <w:tcPr>
            <w:tcW w:w="4860" w:type="dxa"/>
            <w:gridSpan w:val="2"/>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restart"/>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2.2.2</w:t>
            </w:r>
          </w:p>
        </w:tc>
        <w:tc>
          <w:tcPr>
            <w:tcW w:w="1584" w:type="dxa"/>
            <w:vMerge w:val="restart"/>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资格评审标准</w:t>
            </w:r>
          </w:p>
        </w:tc>
        <w:tc>
          <w:tcPr>
            <w:tcW w:w="2250" w:type="dxa"/>
            <w:gridSpan w:val="3"/>
            <w:noWrap w:val="0"/>
            <w:vAlign w:val="center"/>
          </w:tcPr>
          <w:p>
            <w:pPr>
              <w:widowControl w:val="0"/>
              <w:spacing w:line="360" w:lineRule="auto"/>
              <w:jc w:val="center"/>
              <w:textAlignment w:val="center"/>
              <w:rPr>
                <w:rStyle w:val="123"/>
                <w:rFonts w:cs="宋体"/>
                <w:color w:val="auto"/>
                <w:kern w:val="0"/>
                <w:sz w:val="21"/>
                <w:szCs w:val="21"/>
                <w:highlight w:val="none"/>
              </w:rPr>
            </w:pPr>
            <w:r>
              <w:rPr>
                <w:rFonts w:ascii="Times New Roman" w:hAnsi="Times New Roman" w:eastAsia="宋体" w:cs="宋体"/>
                <w:color w:val="auto"/>
                <w:kern w:val="0"/>
                <w:szCs w:val="21"/>
                <w:highlight w:val="none"/>
              </w:rPr>
              <w:t>法定代表人身份证明</w:t>
            </w:r>
          </w:p>
        </w:tc>
        <w:tc>
          <w:tcPr>
            <w:tcW w:w="4860" w:type="dxa"/>
            <w:gridSpan w:val="2"/>
            <w:noWrap w:val="0"/>
            <w:vAlign w:val="center"/>
          </w:tcPr>
          <w:p>
            <w:pPr>
              <w:widowControl w:val="0"/>
              <w:spacing w:line="360" w:lineRule="auto"/>
              <w:jc w:val="left"/>
              <w:textAlignment w:val="center"/>
              <w:rPr>
                <w:rStyle w:val="123"/>
                <w:rFonts w:cs="宋体"/>
                <w:color w:val="auto"/>
                <w:kern w:val="0"/>
                <w:sz w:val="21"/>
                <w:szCs w:val="21"/>
                <w:highlight w:val="none"/>
              </w:rPr>
            </w:pPr>
            <w:r>
              <w:rPr>
                <w:rFonts w:ascii="Times New Roman" w:hAnsi="Times New Roman" w:eastAsia="宋体" w:cs="宋体"/>
                <w:color w:val="auto"/>
                <w:kern w:val="0"/>
                <w:szCs w:val="21"/>
                <w:highlight w:val="none"/>
              </w:rPr>
              <w:t>加盖法人公章原件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pPr>
              <w:widowControl w:val="0"/>
              <w:spacing w:line="360" w:lineRule="auto"/>
              <w:jc w:val="center"/>
              <w:textAlignment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授权委托书（如有）</w:t>
            </w:r>
          </w:p>
        </w:tc>
        <w:tc>
          <w:tcPr>
            <w:tcW w:w="4860" w:type="dxa"/>
            <w:gridSpan w:val="2"/>
            <w:noWrap w:val="0"/>
            <w:vAlign w:val="center"/>
          </w:tcPr>
          <w:p>
            <w:pPr>
              <w:widowControl w:val="0"/>
              <w:spacing w:line="360" w:lineRule="auto"/>
              <w:jc w:val="left"/>
              <w:textAlignment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加盖公章原件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pPr>
              <w:widowControl w:val="0"/>
              <w:spacing w:line="360" w:lineRule="auto"/>
              <w:jc w:val="center"/>
              <w:rPr>
                <w:rFonts w:ascii="Times New Roman" w:hAnsi="Times New Roman" w:eastAsia="宋体" w:cs="宋体"/>
                <w:color w:val="auto"/>
                <w:kern w:val="0"/>
                <w:szCs w:val="21"/>
                <w:highlight w:val="none"/>
              </w:rPr>
            </w:pPr>
            <w:r>
              <w:rPr>
                <w:rStyle w:val="123"/>
                <w:rFonts w:cs="宋体"/>
                <w:color w:val="auto"/>
                <w:kern w:val="0"/>
                <w:sz w:val="21"/>
                <w:szCs w:val="21"/>
                <w:highlight w:val="none"/>
              </w:rPr>
              <w:t>企业营业执照</w:t>
            </w:r>
          </w:p>
        </w:tc>
        <w:tc>
          <w:tcPr>
            <w:tcW w:w="4860" w:type="dxa"/>
            <w:gridSpan w:val="2"/>
            <w:noWrap w:val="0"/>
            <w:vAlign w:val="center"/>
          </w:tcPr>
          <w:p>
            <w:pPr>
              <w:widowControl w:val="0"/>
              <w:spacing w:line="360" w:lineRule="auto"/>
              <w:jc w:val="left"/>
              <w:rPr>
                <w:rFonts w:ascii="Times New Roman" w:hAnsi="Times New Roman" w:eastAsia="宋体" w:cs="宋体"/>
                <w:color w:val="auto"/>
                <w:kern w:val="0"/>
                <w:szCs w:val="21"/>
                <w:highlight w:val="none"/>
              </w:rPr>
            </w:pPr>
            <w:r>
              <w:rPr>
                <w:rStyle w:val="123"/>
                <w:rFonts w:cs="宋体"/>
                <w:color w:val="auto"/>
                <w:kern w:val="0"/>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安全生产许可证</w:t>
            </w:r>
          </w:p>
        </w:tc>
        <w:tc>
          <w:tcPr>
            <w:tcW w:w="4860" w:type="dxa"/>
            <w:gridSpan w:val="2"/>
            <w:noWrap w:val="0"/>
            <w:vAlign w:val="center"/>
          </w:tcPr>
          <w:p>
            <w:pPr>
              <w:widowControl w:val="0"/>
              <w:spacing w:line="360" w:lineRule="auto"/>
              <w:jc w:val="left"/>
              <w:rPr>
                <w:rStyle w:val="123"/>
                <w:rFonts w:cs="宋体"/>
                <w:color w:val="auto"/>
                <w:kern w:val="0"/>
                <w:sz w:val="21"/>
                <w:szCs w:val="21"/>
                <w:highlight w:val="none"/>
              </w:rPr>
            </w:pPr>
            <w:r>
              <w:rPr>
                <w:rStyle w:val="123"/>
                <w:rFonts w:cs="宋体"/>
                <w:color w:val="auto"/>
                <w:kern w:val="0"/>
                <w:sz w:val="21"/>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pPr>
              <w:widowControl w:val="0"/>
              <w:spacing w:line="360" w:lineRule="auto"/>
              <w:jc w:val="center"/>
              <w:rPr>
                <w:rStyle w:val="123"/>
                <w:rFonts w:cs="宋体"/>
                <w:color w:val="auto"/>
                <w:kern w:val="0"/>
                <w:sz w:val="21"/>
                <w:szCs w:val="21"/>
                <w:highlight w:val="none"/>
              </w:rPr>
            </w:pPr>
            <w:r>
              <w:rPr>
                <w:rFonts w:ascii="Times New Roman" w:hAnsi="Times New Roman" w:eastAsia="宋体" w:cs="宋体"/>
                <w:color w:val="auto"/>
                <w:kern w:val="0"/>
                <w:highlight w:val="none"/>
              </w:rPr>
              <w:t>企业资质</w:t>
            </w:r>
          </w:p>
        </w:tc>
        <w:tc>
          <w:tcPr>
            <w:tcW w:w="4860" w:type="dxa"/>
            <w:gridSpan w:val="2"/>
            <w:noWrap w:val="0"/>
            <w:vAlign w:val="center"/>
          </w:tcPr>
          <w:p>
            <w:pPr>
              <w:widowControl w:val="0"/>
              <w:spacing w:line="360" w:lineRule="auto"/>
              <w:jc w:val="left"/>
              <w:rPr>
                <w:rStyle w:val="123"/>
                <w:rFonts w:cs="宋体"/>
                <w:color w:val="auto"/>
                <w:kern w:val="0"/>
                <w:sz w:val="21"/>
                <w:szCs w:val="21"/>
                <w:highlight w:val="none"/>
              </w:rPr>
            </w:pPr>
            <w:r>
              <w:rPr>
                <w:rStyle w:val="123"/>
                <w:rFonts w:hint="eastAsia" w:cs="宋体"/>
                <w:b/>
                <w:bCs/>
                <w:color w:val="auto"/>
                <w:kern w:val="0"/>
                <w:sz w:val="21"/>
                <w:szCs w:val="21"/>
                <w:highlight w:val="none"/>
                <w:u w:val="single"/>
              </w:rPr>
              <w:t>具备建筑工程或市政公用工程施工总承包叁级及以上资质（须在有效期内）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pPr>
              <w:widowControl w:val="0"/>
              <w:spacing w:line="360" w:lineRule="auto"/>
              <w:jc w:val="center"/>
              <w:rPr>
                <w:rStyle w:val="123"/>
                <w:rFonts w:cs="宋体"/>
                <w:color w:val="auto"/>
                <w:kern w:val="0"/>
                <w:sz w:val="21"/>
                <w:szCs w:val="21"/>
                <w:highlight w:val="none"/>
              </w:rPr>
            </w:pPr>
            <w:r>
              <w:rPr>
                <w:rStyle w:val="123"/>
                <w:rFonts w:hint="eastAsia" w:cs="宋体"/>
                <w:color w:val="auto"/>
                <w:kern w:val="0"/>
                <w:sz w:val="21"/>
                <w:szCs w:val="21"/>
                <w:highlight w:val="none"/>
              </w:rPr>
              <w:t>不拖欠农民工工资的承诺书</w:t>
            </w:r>
          </w:p>
        </w:tc>
        <w:tc>
          <w:tcPr>
            <w:tcW w:w="4860" w:type="dxa"/>
            <w:gridSpan w:val="2"/>
            <w:noWrap w:val="0"/>
            <w:vAlign w:val="center"/>
          </w:tcPr>
          <w:p>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要求提供不拖欠农民工工资的承诺书（格式见第七章）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诚信承诺书</w:t>
            </w:r>
          </w:p>
        </w:tc>
        <w:tc>
          <w:tcPr>
            <w:tcW w:w="4860" w:type="dxa"/>
            <w:gridSpan w:val="2"/>
            <w:noWrap w:val="0"/>
            <w:vAlign w:val="center"/>
          </w:tcPr>
          <w:p>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要求提供诚信承诺书（格式见第七章）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9404" w:type="dxa"/>
            <w:gridSpan w:val="8"/>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详细评审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2294" w:type="dxa"/>
            <w:gridSpan w:val="3"/>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条款号</w:t>
            </w:r>
          </w:p>
        </w:tc>
        <w:tc>
          <w:tcPr>
            <w:tcW w:w="7110" w:type="dxa"/>
            <w:gridSpan w:val="5"/>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条款内容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2.3.1</w:t>
            </w:r>
          </w:p>
        </w:tc>
        <w:tc>
          <w:tcPr>
            <w:tcW w:w="1593" w:type="dxa"/>
            <w:gridSpan w:val="2"/>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分值构成（总分100分）</w:t>
            </w:r>
          </w:p>
        </w:tc>
        <w:tc>
          <w:tcPr>
            <w:tcW w:w="7110" w:type="dxa"/>
            <w:gridSpan w:val="5"/>
            <w:noWrap w:val="0"/>
            <w:vAlign w:val="center"/>
          </w:tcPr>
          <w:p>
            <w:pPr>
              <w:widowControl w:val="0"/>
              <w:spacing w:line="360" w:lineRule="auto"/>
              <w:jc w:val="left"/>
              <w:rPr>
                <w:rStyle w:val="123"/>
                <w:rFonts w:cs="宋体"/>
                <w:color w:val="auto"/>
                <w:kern w:val="0"/>
                <w:sz w:val="21"/>
                <w:szCs w:val="21"/>
                <w:highlight w:val="none"/>
              </w:rPr>
            </w:pPr>
            <w:r>
              <w:rPr>
                <w:rStyle w:val="123"/>
                <w:rFonts w:cs="宋体"/>
                <w:color w:val="auto"/>
                <w:kern w:val="0"/>
                <w:sz w:val="21"/>
                <w:szCs w:val="21"/>
                <w:highlight w:val="none"/>
              </w:rPr>
              <w:t>投标报价部分：</w:t>
            </w:r>
            <w:r>
              <w:rPr>
                <w:rStyle w:val="123"/>
                <w:rFonts w:hint="eastAsia" w:cs="宋体"/>
                <w:color w:val="auto"/>
                <w:kern w:val="0"/>
                <w:sz w:val="21"/>
                <w:szCs w:val="21"/>
                <w:highlight w:val="none"/>
                <w:lang w:val="en-US" w:eastAsia="zh-CN"/>
              </w:rPr>
              <w:t>8</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p>
            <w:pPr>
              <w:widowControl w:val="0"/>
              <w:spacing w:line="360" w:lineRule="auto"/>
              <w:jc w:val="left"/>
              <w:rPr>
                <w:rFonts w:ascii="Times New Roman" w:hAnsi="Times New Roman" w:eastAsia="宋体" w:cs="宋体"/>
                <w:color w:val="auto"/>
                <w:kern w:val="0"/>
                <w:szCs w:val="21"/>
                <w:highlight w:val="none"/>
              </w:rPr>
            </w:pPr>
            <w:r>
              <w:rPr>
                <w:rStyle w:val="123"/>
                <w:rFonts w:cs="宋体"/>
                <w:color w:val="auto"/>
                <w:kern w:val="0"/>
                <w:sz w:val="21"/>
                <w:szCs w:val="21"/>
                <w:highlight w:val="none"/>
              </w:rPr>
              <w:t>商务技术部分：</w:t>
            </w:r>
            <w:r>
              <w:rPr>
                <w:rStyle w:val="123"/>
                <w:rFonts w:hint="eastAsia" w:cs="宋体"/>
                <w:color w:val="auto"/>
                <w:kern w:val="0"/>
                <w:sz w:val="21"/>
                <w:szCs w:val="21"/>
                <w:highlight w:val="none"/>
                <w:lang w:val="en-US" w:eastAsia="zh-CN"/>
              </w:rPr>
              <w:t>2</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2.3.2</w:t>
            </w:r>
          </w:p>
        </w:tc>
        <w:tc>
          <w:tcPr>
            <w:tcW w:w="1593" w:type="dxa"/>
            <w:gridSpan w:val="2"/>
            <w:noWrap w:val="0"/>
            <w:vAlign w:val="center"/>
          </w:tcPr>
          <w:p>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投标报价部分得分计算（</w:t>
            </w:r>
            <w:r>
              <w:rPr>
                <w:rStyle w:val="123"/>
                <w:rFonts w:hint="eastAsia" w:cs="宋体"/>
                <w:color w:val="auto"/>
                <w:kern w:val="0"/>
                <w:sz w:val="21"/>
                <w:szCs w:val="21"/>
                <w:highlight w:val="none"/>
                <w:lang w:val="en-US" w:eastAsia="zh-CN"/>
              </w:rPr>
              <w:t>8</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p>
            <w:pPr>
              <w:widowControl w:val="0"/>
              <w:spacing w:line="360" w:lineRule="auto"/>
              <w:rPr>
                <w:rStyle w:val="123"/>
                <w:rFonts w:cs="宋体"/>
                <w:color w:val="auto"/>
                <w:kern w:val="0"/>
                <w:sz w:val="21"/>
                <w:szCs w:val="21"/>
                <w:highlight w:val="none"/>
              </w:rPr>
            </w:pPr>
          </w:p>
        </w:tc>
        <w:tc>
          <w:tcPr>
            <w:tcW w:w="7110" w:type="dxa"/>
            <w:gridSpan w:val="5"/>
            <w:noWrap w:val="0"/>
            <w:vAlign w:val="center"/>
          </w:tcPr>
          <w:p>
            <w:pPr>
              <w:widowControl w:val="0"/>
              <w:autoSpaceDE w:val="0"/>
              <w:autoSpaceDN w:val="0"/>
              <w:spacing w:line="360" w:lineRule="auto"/>
              <w:jc w:val="left"/>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经初步评审合格的投标文件，评标委员会根据招标文件确定的评标标准和方法，对其商务部分作进一步评审。</w:t>
            </w:r>
          </w:p>
          <w:p>
            <w:pPr>
              <w:widowControl w:val="0"/>
              <w:autoSpaceDE w:val="0"/>
              <w:autoSpaceDN w:val="0"/>
              <w:spacing w:line="360" w:lineRule="auto"/>
              <w:jc w:val="left"/>
              <w:rPr>
                <w:rFonts w:ascii="Times New Roman" w:hAnsi="Times New Roman" w:eastAsia="宋体" w:cs="宋体"/>
                <w:b/>
                <w:color w:val="auto"/>
                <w:kern w:val="0"/>
                <w:szCs w:val="21"/>
                <w:highlight w:val="none"/>
              </w:rPr>
            </w:pPr>
            <w:r>
              <w:rPr>
                <w:rFonts w:ascii="Times New Roman" w:hAnsi="Times New Roman" w:eastAsia="宋体" w:cs="宋体"/>
                <w:color w:val="auto"/>
                <w:kern w:val="0"/>
                <w:szCs w:val="21"/>
                <w:highlight w:val="none"/>
              </w:rPr>
              <w:t>评标办法如下：</w:t>
            </w:r>
          </w:p>
          <w:p>
            <w:pPr>
              <w:widowControl w:val="0"/>
              <w:spacing w:line="360" w:lineRule="auto"/>
              <w:ind w:firstLine="420" w:firstLineChars="200"/>
              <w:jc w:val="both"/>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fldChar w:fldCharType="begin"/>
            </w:r>
            <w:r>
              <w:rPr>
                <w:rFonts w:ascii="Times New Roman" w:hAnsi="Times New Roman" w:eastAsia="宋体" w:cs="宋体"/>
                <w:color w:val="auto"/>
                <w:kern w:val="0"/>
                <w:szCs w:val="21"/>
                <w:highlight w:val="none"/>
              </w:rPr>
              <w:instrText xml:space="preserve"> = 1 \* GB3 </w:instrText>
            </w:r>
            <w:r>
              <w:rPr>
                <w:rFonts w:ascii="Times New Roman" w:hAnsi="Times New Roman" w:eastAsia="宋体" w:cs="宋体"/>
                <w:color w:val="auto"/>
                <w:kern w:val="0"/>
                <w:szCs w:val="21"/>
                <w:highlight w:val="none"/>
              </w:rPr>
              <w:fldChar w:fldCharType="separate"/>
            </w:r>
            <w:r>
              <w:rPr>
                <w:rFonts w:ascii="Times New Roman" w:hAnsi="Times New Roman" w:eastAsia="宋体" w:cs="宋体"/>
                <w:color w:val="auto"/>
                <w:kern w:val="0"/>
                <w:szCs w:val="21"/>
                <w:highlight w:val="none"/>
              </w:rPr>
              <w:t>①</w:t>
            </w:r>
            <w:r>
              <w:rPr>
                <w:rFonts w:ascii="Times New Roman" w:hAnsi="Times New Roman" w:eastAsia="宋体" w:cs="宋体"/>
                <w:color w:val="auto"/>
                <w:kern w:val="0"/>
                <w:szCs w:val="21"/>
                <w:highlight w:val="none"/>
              </w:rPr>
              <w:fldChar w:fldCharType="end"/>
            </w:r>
            <w:r>
              <w:rPr>
                <w:rFonts w:ascii="Times New Roman" w:hAnsi="Times New Roman" w:eastAsia="宋体" w:cs="宋体"/>
                <w:color w:val="auto"/>
                <w:kern w:val="0"/>
                <w:szCs w:val="21"/>
                <w:highlight w:val="none"/>
              </w:rPr>
              <w:t>有效报价</w:t>
            </w:r>
          </w:p>
          <w:p>
            <w:pPr>
              <w:widowControl w:val="0"/>
              <w:spacing w:line="360" w:lineRule="auto"/>
              <w:ind w:firstLine="420" w:firstLineChars="200"/>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有效报价是指投标人的报价</w:t>
            </w:r>
            <w:r>
              <w:rPr>
                <w:rFonts w:hint="eastAsia" w:cs="宋体"/>
                <w:color w:val="auto"/>
                <w:kern w:val="0"/>
                <w:szCs w:val="21"/>
                <w:highlight w:val="none"/>
                <w:lang w:val="en-US" w:eastAsia="zh-CN"/>
              </w:rPr>
              <w:t>不高于</w:t>
            </w:r>
            <w:r>
              <w:rPr>
                <w:rFonts w:ascii="Times New Roman" w:hAnsi="Times New Roman" w:eastAsia="宋体" w:cs="宋体"/>
                <w:color w:val="auto"/>
                <w:kern w:val="0"/>
                <w:szCs w:val="21"/>
                <w:highlight w:val="none"/>
              </w:rPr>
              <w:t>招标人设定的招标控制价。</w:t>
            </w:r>
          </w:p>
          <w:p>
            <w:pPr>
              <w:widowControl w:val="0"/>
              <w:spacing w:line="360" w:lineRule="auto"/>
              <w:ind w:firstLine="420" w:firstLineChars="200"/>
              <w:rPr>
                <w:rFonts w:hint="eastAsia"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②</w:t>
            </w:r>
            <w:r>
              <w:rPr>
                <w:rFonts w:hint="eastAsia" w:ascii="Times New Roman" w:hAnsi="Times New Roman" w:eastAsia="宋体" w:cs="宋体"/>
                <w:color w:val="auto"/>
                <w:kern w:val="0"/>
                <w:szCs w:val="21"/>
                <w:highlight w:val="none"/>
              </w:rPr>
              <w:t>评标基准值计算方法的确定</w:t>
            </w:r>
          </w:p>
          <w:p>
            <w:pPr>
              <w:widowControl w:val="0"/>
              <w:spacing w:line="360" w:lineRule="auto"/>
              <w:ind w:firstLine="420" w:firstLineChars="200"/>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以有效的最低</w:t>
            </w:r>
            <w:r>
              <w:rPr>
                <w:rFonts w:ascii="Times New Roman" w:hAnsi="Times New Roman" w:eastAsia="宋体" w:cs="宋体"/>
                <w:color w:val="auto"/>
                <w:kern w:val="0"/>
                <w:szCs w:val="21"/>
                <w:highlight w:val="none"/>
              </w:rPr>
              <w:t>投标报价</w:t>
            </w:r>
            <w:r>
              <w:rPr>
                <w:rFonts w:hint="eastAsia" w:ascii="Times New Roman" w:hAnsi="Times New Roman" w:eastAsia="宋体" w:cs="宋体"/>
                <w:color w:val="auto"/>
                <w:kern w:val="0"/>
                <w:szCs w:val="21"/>
                <w:highlight w:val="none"/>
              </w:rPr>
              <w:t>为评标基准价。投标报价等于评标基准价的得</w:t>
            </w:r>
            <w:r>
              <w:rPr>
                <w:rFonts w:hint="eastAsia" w:cs="宋体"/>
                <w:color w:val="auto"/>
                <w:kern w:val="0"/>
                <w:szCs w:val="21"/>
                <w:highlight w:val="none"/>
                <w:lang w:val="en-US" w:eastAsia="zh-CN"/>
              </w:rPr>
              <w:t>80</w:t>
            </w:r>
            <w:r>
              <w:rPr>
                <w:rFonts w:hint="eastAsia" w:ascii="Times New Roman" w:hAnsi="Times New Roman" w:eastAsia="宋体" w:cs="宋体"/>
                <w:color w:val="auto"/>
                <w:kern w:val="0"/>
                <w:szCs w:val="21"/>
                <w:highlight w:val="none"/>
              </w:rPr>
              <w:t>分，每高1%的扣0.</w:t>
            </w:r>
            <w:r>
              <w:rPr>
                <w:rFonts w:hint="eastAsia" w:cs="宋体"/>
                <w:color w:val="auto"/>
                <w:kern w:val="0"/>
                <w:szCs w:val="21"/>
                <w:highlight w:val="none"/>
                <w:lang w:val="en-US" w:eastAsia="zh-CN"/>
              </w:rPr>
              <w:t>9</w:t>
            </w:r>
            <w:r>
              <w:rPr>
                <w:rFonts w:hint="eastAsia" w:ascii="Times New Roman" w:hAnsi="Times New Roman" w:eastAsia="宋体" w:cs="宋体"/>
                <w:color w:val="auto"/>
                <w:kern w:val="0"/>
                <w:szCs w:val="21"/>
                <w:highlight w:val="none"/>
              </w:rPr>
              <w:t>分。偏离不足1%的，按照插入法计算得分。</w:t>
            </w:r>
            <w:r>
              <w:rPr>
                <w:rFonts w:ascii="Times New Roman" w:hAnsi="Times New Roman" w:eastAsia="宋体" w:cs="宋体"/>
                <w:color w:val="auto"/>
                <w:kern w:val="0"/>
                <w:szCs w:val="21"/>
                <w:highlight w:val="none"/>
              </w:rPr>
              <w:t>计算保留小数点后两位，小数点后第三位“四舍五入”。</w:t>
            </w:r>
          </w:p>
          <w:p>
            <w:pPr>
              <w:widowControl w:val="0"/>
              <w:autoSpaceDE w:val="0"/>
              <w:autoSpaceDN w:val="0"/>
              <w:adjustRightInd w:val="0"/>
              <w:spacing w:line="360" w:lineRule="auto"/>
              <w:ind w:firstLine="420" w:firstLineChars="200"/>
              <w:jc w:val="left"/>
              <w:rPr>
                <w:rStyle w:val="123"/>
                <w:rFonts w:cs="宋体"/>
                <w:color w:val="auto"/>
                <w:kern w:val="0"/>
                <w:sz w:val="21"/>
                <w:szCs w:val="21"/>
                <w:highlight w:val="none"/>
              </w:rPr>
            </w:pPr>
            <w:r>
              <w:rPr>
                <w:rFonts w:ascii="Times New Roman" w:hAnsi="Times New Roman" w:eastAsia="宋体" w:cs="宋体"/>
                <w:color w:val="auto"/>
                <w:kern w:val="0"/>
                <w:szCs w:val="21"/>
                <w:highlight w:val="none"/>
              </w:rPr>
              <w:t>评标委员会在评标报告上签字后，上述的评标基准价不因招投标当事人质疑、投诉、复议以及其它任何情形而改变，但评标过程中的计算错误可以调整；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restart"/>
            <w:noWrap w:val="0"/>
            <w:vAlign w:val="center"/>
          </w:tcPr>
          <w:p>
            <w:pPr>
              <w:widowControl w:val="0"/>
              <w:spacing w:line="360" w:lineRule="auto"/>
              <w:rPr>
                <w:rStyle w:val="123"/>
                <w:rFonts w:hint="eastAsia" w:eastAsia="宋体" w:cs="宋体"/>
                <w:color w:val="auto"/>
                <w:kern w:val="0"/>
                <w:sz w:val="21"/>
                <w:szCs w:val="21"/>
                <w:highlight w:val="none"/>
                <w:lang w:eastAsia="zh-CN"/>
              </w:rPr>
            </w:pPr>
            <w:r>
              <w:rPr>
                <w:rStyle w:val="123"/>
                <w:rFonts w:cs="宋体"/>
                <w:color w:val="auto"/>
                <w:kern w:val="0"/>
                <w:sz w:val="21"/>
                <w:szCs w:val="21"/>
                <w:highlight w:val="none"/>
              </w:rPr>
              <w:t>2.3.</w:t>
            </w:r>
            <w:r>
              <w:rPr>
                <w:rStyle w:val="123"/>
                <w:rFonts w:hint="eastAsia" w:cs="宋体"/>
                <w:color w:val="auto"/>
                <w:kern w:val="0"/>
                <w:sz w:val="21"/>
                <w:szCs w:val="21"/>
                <w:highlight w:val="none"/>
                <w:lang w:val="en-US" w:eastAsia="zh-CN"/>
              </w:rPr>
              <w:t>3</w:t>
            </w:r>
          </w:p>
        </w:tc>
        <w:tc>
          <w:tcPr>
            <w:tcW w:w="1593" w:type="dxa"/>
            <w:gridSpan w:val="2"/>
            <w:vMerge w:val="restart"/>
            <w:noWrap w:val="0"/>
            <w:vAlign w:val="center"/>
          </w:tcPr>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商务技术部分得分计算</w:t>
            </w:r>
          </w:p>
          <w:p>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w:t>
            </w:r>
            <w:r>
              <w:rPr>
                <w:rStyle w:val="123"/>
                <w:rFonts w:hint="eastAsia" w:cs="宋体"/>
                <w:color w:val="auto"/>
                <w:kern w:val="0"/>
                <w:sz w:val="21"/>
                <w:szCs w:val="21"/>
                <w:highlight w:val="none"/>
                <w:lang w:val="en-US" w:eastAsia="zh-CN"/>
              </w:rPr>
              <w:t>2</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tc>
        <w:tc>
          <w:tcPr>
            <w:tcW w:w="707"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项次</w:t>
            </w:r>
          </w:p>
        </w:tc>
        <w:tc>
          <w:tcPr>
            <w:tcW w:w="924"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评审因素</w:t>
            </w:r>
          </w:p>
        </w:tc>
        <w:tc>
          <w:tcPr>
            <w:tcW w:w="4923" w:type="dxa"/>
            <w:gridSpan w:val="2"/>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评审标准</w:t>
            </w:r>
          </w:p>
        </w:tc>
        <w:tc>
          <w:tcPr>
            <w:tcW w:w="556"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pPr>
              <w:widowControl w:val="0"/>
              <w:spacing w:line="360" w:lineRule="auto"/>
              <w:rPr>
                <w:rStyle w:val="123"/>
                <w:rFonts w:cs="宋体"/>
                <w:color w:val="auto"/>
                <w:kern w:val="0"/>
                <w:sz w:val="21"/>
                <w:szCs w:val="21"/>
                <w:highlight w:val="none"/>
              </w:rPr>
            </w:pPr>
          </w:p>
        </w:tc>
        <w:tc>
          <w:tcPr>
            <w:tcW w:w="707"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1</w:t>
            </w:r>
          </w:p>
        </w:tc>
        <w:tc>
          <w:tcPr>
            <w:tcW w:w="924" w:type="dxa"/>
            <w:noWrap w:val="0"/>
            <w:vAlign w:val="center"/>
          </w:tcPr>
          <w:p>
            <w:pPr>
              <w:widowControl w:val="0"/>
              <w:spacing w:line="360" w:lineRule="auto"/>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企业业绩（</w:t>
            </w:r>
            <w:r>
              <w:rPr>
                <w:rFonts w:hint="eastAsia" w:ascii="Times New Roman" w:hAnsi="Times New Roman" w:eastAsia="宋体" w:cs="宋体"/>
                <w:color w:val="auto"/>
                <w:kern w:val="0"/>
                <w:szCs w:val="21"/>
                <w:highlight w:val="none"/>
                <w:lang w:val="en-US" w:eastAsia="zh-CN"/>
              </w:rPr>
              <w:t>5</w:t>
            </w:r>
            <w:r>
              <w:rPr>
                <w:rFonts w:ascii="Times New Roman" w:hAnsi="Times New Roman" w:eastAsia="宋体" w:cs="宋体"/>
                <w:color w:val="auto"/>
                <w:kern w:val="0"/>
                <w:szCs w:val="21"/>
                <w:highlight w:val="none"/>
              </w:rPr>
              <w:t>分）</w:t>
            </w:r>
          </w:p>
        </w:tc>
        <w:tc>
          <w:tcPr>
            <w:tcW w:w="4923" w:type="dxa"/>
            <w:gridSpan w:val="2"/>
            <w:noWrap w:val="0"/>
            <w:vAlign w:val="center"/>
          </w:tcPr>
          <w:p>
            <w:pPr>
              <w:widowControl w:val="0"/>
              <w:adjustRightInd w:val="0"/>
              <w:snapToGrid w:val="0"/>
              <w:spacing w:line="360" w:lineRule="auto"/>
              <w:jc w:val="left"/>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提供自20</w:t>
            </w:r>
            <w:r>
              <w:rPr>
                <w:rFonts w:ascii="Times New Roman" w:hAnsi="Times New Roman" w:eastAsia="宋体" w:cs="宋体"/>
                <w:color w:val="auto"/>
                <w:kern w:val="0"/>
                <w:szCs w:val="21"/>
                <w:highlight w:val="none"/>
                <w:lang w:eastAsia="zh"/>
              </w:rPr>
              <w:t>2</w:t>
            </w:r>
            <w:r>
              <w:rPr>
                <w:rFonts w:ascii="Times New Roman" w:hAnsi="Times New Roman" w:eastAsia="宋体" w:cs="宋体"/>
                <w:color w:val="auto"/>
                <w:kern w:val="0"/>
                <w:szCs w:val="21"/>
                <w:highlight w:val="none"/>
              </w:rPr>
              <w:t>2年</w:t>
            </w:r>
            <w:r>
              <w:rPr>
                <w:rFonts w:ascii="Times New Roman" w:hAnsi="Times New Roman" w:eastAsia="宋体" w:cs="宋体"/>
                <w:color w:val="auto"/>
                <w:kern w:val="0"/>
                <w:szCs w:val="21"/>
                <w:highlight w:val="none"/>
                <w:lang w:eastAsia="zh"/>
              </w:rPr>
              <w:t>01</w:t>
            </w:r>
            <w:r>
              <w:rPr>
                <w:rFonts w:ascii="Times New Roman" w:hAnsi="Times New Roman" w:eastAsia="宋体" w:cs="宋体"/>
                <w:color w:val="auto"/>
                <w:kern w:val="0"/>
                <w:szCs w:val="21"/>
                <w:highlight w:val="none"/>
              </w:rPr>
              <w:t>月至今（以合同签订时间为准）已完成的合同价</w:t>
            </w:r>
            <w:r>
              <w:rPr>
                <w:rFonts w:hint="eastAsia" w:cs="宋体"/>
                <w:color w:val="auto"/>
                <w:kern w:val="0"/>
                <w:szCs w:val="21"/>
                <w:highlight w:val="none"/>
                <w:lang w:val="en-US" w:eastAsia="zh-CN"/>
              </w:rPr>
              <w:t>20</w:t>
            </w:r>
            <w:r>
              <w:rPr>
                <w:rFonts w:ascii="Times New Roman" w:hAnsi="Times New Roman" w:eastAsia="宋体" w:cs="宋体"/>
                <w:color w:val="auto"/>
                <w:kern w:val="0"/>
                <w:szCs w:val="21"/>
                <w:highlight w:val="none"/>
              </w:rPr>
              <w:t>万元以上的</w:t>
            </w:r>
            <w:r>
              <w:rPr>
                <w:rFonts w:hint="eastAsia" w:ascii="Times New Roman" w:hAnsi="Times New Roman" w:eastAsia="宋体" w:cs="宋体"/>
                <w:color w:val="auto"/>
                <w:kern w:val="0"/>
                <w:szCs w:val="21"/>
                <w:highlight w:val="none"/>
                <w:lang w:val="en-US" w:eastAsia="zh-CN"/>
              </w:rPr>
              <w:t>类似</w:t>
            </w:r>
            <w:r>
              <w:rPr>
                <w:rFonts w:hint="eastAsia" w:cs="宋体"/>
                <w:color w:val="auto"/>
                <w:kern w:val="0"/>
                <w:szCs w:val="21"/>
                <w:highlight w:val="none"/>
                <w:lang w:val="en-US" w:eastAsia="zh-CN"/>
              </w:rPr>
              <w:t>绿化</w:t>
            </w:r>
            <w:r>
              <w:rPr>
                <w:rFonts w:ascii="Times New Roman" w:hAnsi="Times New Roman" w:eastAsia="宋体" w:cs="宋体"/>
                <w:color w:val="auto"/>
                <w:kern w:val="0"/>
                <w:szCs w:val="21"/>
                <w:highlight w:val="none"/>
              </w:rPr>
              <w:t>工程业绩，每个得</w:t>
            </w:r>
            <w:r>
              <w:rPr>
                <w:rFonts w:hint="eastAsia" w:ascii="Times New Roman" w:hAnsi="Times New Roman" w:eastAsia="宋体" w:cs="宋体"/>
                <w:color w:val="auto"/>
                <w:kern w:val="0"/>
                <w:szCs w:val="21"/>
                <w:highlight w:val="none"/>
                <w:lang w:val="en-US" w:eastAsia="zh-CN"/>
              </w:rPr>
              <w:t>5</w:t>
            </w:r>
            <w:r>
              <w:rPr>
                <w:rFonts w:ascii="Times New Roman" w:hAnsi="Times New Roman" w:eastAsia="宋体" w:cs="宋体"/>
                <w:color w:val="auto"/>
                <w:kern w:val="0"/>
                <w:szCs w:val="21"/>
                <w:highlight w:val="none"/>
              </w:rPr>
              <w:t>分，最多得</w:t>
            </w:r>
            <w:r>
              <w:rPr>
                <w:rFonts w:hint="eastAsia" w:cs="宋体"/>
                <w:color w:val="auto"/>
                <w:kern w:val="0"/>
                <w:szCs w:val="21"/>
                <w:highlight w:val="none"/>
                <w:lang w:val="en-US" w:eastAsia="zh-CN"/>
              </w:rPr>
              <w:t>5</w:t>
            </w:r>
            <w:r>
              <w:rPr>
                <w:rFonts w:ascii="Times New Roman" w:hAnsi="Times New Roman" w:eastAsia="宋体" w:cs="宋体"/>
                <w:color w:val="auto"/>
                <w:kern w:val="0"/>
                <w:szCs w:val="21"/>
                <w:highlight w:val="none"/>
              </w:rPr>
              <w:t>分。以上须提供合同（协议）复印件（加盖公章）及发票复印件，未提供或合同不能体现相关内容的不得分。</w:t>
            </w:r>
          </w:p>
        </w:tc>
        <w:tc>
          <w:tcPr>
            <w:tcW w:w="556"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lang w:val="en-US" w:eastAsia="zh-CN"/>
              </w:rPr>
              <w:t>5</w:t>
            </w:r>
            <w:r>
              <w:rPr>
                <w:rFonts w:ascii="Times New Roman" w:hAnsi="Times New Roman" w:eastAsia="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pPr>
              <w:widowControl w:val="0"/>
              <w:spacing w:line="360" w:lineRule="auto"/>
              <w:rPr>
                <w:rStyle w:val="123"/>
                <w:rFonts w:cs="宋体"/>
                <w:color w:val="auto"/>
                <w:kern w:val="0"/>
                <w:sz w:val="21"/>
                <w:szCs w:val="21"/>
                <w:highlight w:val="none"/>
              </w:rPr>
            </w:pPr>
          </w:p>
        </w:tc>
        <w:tc>
          <w:tcPr>
            <w:tcW w:w="707" w:type="dxa"/>
            <w:vMerge w:val="restart"/>
            <w:noWrap w:val="0"/>
            <w:vAlign w:val="center"/>
          </w:tcPr>
          <w:p>
            <w:pPr>
              <w:widowControl w:val="0"/>
              <w:spacing w:line="360" w:lineRule="auto"/>
              <w:jc w:val="center"/>
              <w:rPr>
                <w:rFonts w:hint="eastAsia" w:ascii="Times New Roman" w:hAnsi="Times New Roman" w:eastAsia="宋体" w:cs="宋体"/>
                <w:color w:val="auto"/>
                <w:kern w:val="0"/>
                <w:szCs w:val="21"/>
                <w:highlight w:val="none"/>
                <w:lang w:eastAsia="zh-CN"/>
              </w:rPr>
            </w:pPr>
            <w:r>
              <w:rPr>
                <w:rFonts w:hint="eastAsia" w:cs="宋体"/>
                <w:color w:val="auto"/>
                <w:kern w:val="0"/>
                <w:szCs w:val="21"/>
                <w:highlight w:val="none"/>
                <w:lang w:val="en-US" w:eastAsia="zh-CN"/>
              </w:rPr>
              <w:t>2</w:t>
            </w:r>
          </w:p>
        </w:tc>
        <w:tc>
          <w:tcPr>
            <w:tcW w:w="924" w:type="dxa"/>
            <w:vMerge w:val="restart"/>
            <w:noWrap w:val="0"/>
            <w:vAlign w:val="center"/>
          </w:tcPr>
          <w:p>
            <w:pPr>
              <w:widowControl w:val="0"/>
              <w:spacing w:line="360" w:lineRule="auto"/>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绿化施工方案</w:t>
            </w:r>
            <w:r>
              <w:rPr>
                <w:rFonts w:ascii="Times New Roman" w:hAnsi="Times New Roman" w:eastAsia="宋体" w:cs="宋体"/>
                <w:color w:val="auto"/>
                <w:kern w:val="0"/>
                <w:szCs w:val="21"/>
                <w:highlight w:val="none"/>
              </w:rPr>
              <w:t>（</w:t>
            </w:r>
            <w:r>
              <w:rPr>
                <w:rFonts w:hint="eastAsia" w:cs="宋体"/>
                <w:color w:val="auto"/>
                <w:kern w:val="0"/>
                <w:szCs w:val="21"/>
                <w:highlight w:val="none"/>
                <w:lang w:val="en-US" w:eastAsia="zh-CN"/>
              </w:rPr>
              <w:t>12</w:t>
            </w:r>
            <w:r>
              <w:rPr>
                <w:rFonts w:ascii="Times New Roman" w:hAnsi="Times New Roman" w:eastAsia="宋体" w:cs="宋体"/>
                <w:color w:val="auto"/>
                <w:kern w:val="0"/>
                <w:szCs w:val="21"/>
                <w:highlight w:val="none"/>
              </w:rPr>
              <w:t>分）</w:t>
            </w:r>
          </w:p>
        </w:tc>
        <w:tc>
          <w:tcPr>
            <w:tcW w:w="4923" w:type="dxa"/>
            <w:gridSpan w:val="2"/>
            <w:noWrap w:val="0"/>
            <w:vAlign w:val="center"/>
          </w:tcPr>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由评委根据各供应商施工方案进行评审。</w:t>
            </w:r>
          </w:p>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1、各分部分项工程的施工方案及质量保证措施（</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pPr>
              <w:widowControl w:val="0"/>
              <w:spacing w:line="360" w:lineRule="auto"/>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pPr>
              <w:widowControl w:val="0"/>
              <w:spacing w:line="360" w:lineRule="auto"/>
              <w:rPr>
                <w:rStyle w:val="123"/>
                <w:rFonts w:cs="宋体"/>
                <w:color w:val="auto"/>
                <w:kern w:val="0"/>
                <w:sz w:val="21"/>
                <w:szCs w:val="21"/>
                <w:highlight w:val="none"/>
              </w:rPr>
            </w:pPr>
          </w:p>
        </w:tc>
        <w:tc>
          <w:tcPr>
            <w:tcW w:w="707" w:type="dxa"/>
            <w:vMerge w:val="continue"/>
            <w:noWrap w:val="0"/>
            <w:vAlign w:val="center"/>
          </w:tcPr>
          <w:p>
            <w:pPr>
              <w:widowControl w:val="0"/>
              <w:spacing w:line="360" w:lineRule="auto"/>
              <w:jc w:val="center"/>
              <w:rPr>
                <w:rFonts w:ascii="Times New Roman" w:hAnsi="Times New Roman" w:eastAsia="宋体" w:cs="宋体"/>
                <w:color w:val="auto"/>
                <w:kern w:val="0"/>
                <w:szCs w:val="21"/>
                <w:highlight w:val="none"/>
              </w:rPr>
            </w:pPr>
          </w:p>
        </w:tc>
        <w:tc>
          <w:tcPr>
            <w:tcW w:w="924" w:type="dxa"/>
            <w:vMerge w:val="continue"/>
            <w:noWrap w:val="0"/>
            <w:vAlign w:val="center"/>
          </w:tcPr>
          <w:p>
            <w:pPr>
              <w:widowControl w:val="0"/>
              <w:spacing w:line="360" w:lineRule="auto"/>
              <w:jc w:val="left"/>
              <w:rPr>
                <w:rFonts w:ascii="Times New Roman" w:hAnsi="Times New Roman" w:eastAsia="宋体" w:cs="宋体"/>
                <w:color w:val="auto"/>
                <w:kern w:val="0"/>
                <w:szCs w:val="21"/>
                <w:highlight w:val="none"/>
              </w:rPr>
            </w:pPr>
          </w:p>
        </w:tc>
        <w:tc>
          <w:tcPr>
            <w:tcW w:w="4923" w:type="dxa"/>
            <w:gridSpan w:val="2"/>
            <w:noWrap w:val="0"/>
            <w:vAlign w:val="center"/>
          </w:tcPr>
          <w:p>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2、工期保证措施与资源配置计划方案（</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pPr>
              <w:widowControl w:val="0"/>
              <w:spacing w:line="360" w:lineRule="auto"/>
              <w:rPr>
                <w:rStyle w:val="123"/>
                <w:rFonts w:cs="宋体"/>
                <w:color w:val="auto"/>
                <w:kern w:val="0"/>
                <w:sz w:val="21"/>
                <w:szCs w:val="21"/>
                <w:highlight w:val="none"/>
              </w:rPr>
            </w:pPr>
          </w:p>
        </w:tc>
        <w:tc>
          <w:tcPr>
            <w:tcW w:w="707" w:type="dxa"/>
            <w:vMerge w:val="continue"/>
            <w:noWrap w:val="0"/>
            <w:vAlign w:val="center"/>
          </w:tcPr>
          <w:p>
            <w:pPr>
              <w:widowControl w:val="0"/>
              <w:spacing w:line="360" w:lineRule="auto"/>
              <w:jc w:val="center"/>
              <w:rPr>
                <w:rFonts w:ascii="Times New Roman" w:hAnsi="Times New Roman" w:eastAsia="宋体" w:cs="宋体"/>
                <w:color w:val="auto"/>
                <w:kern w:val="0"/>
                <w:szCs w:val="21"/>
                <w:highlight w:val="none"/>
              </w:rPr>
            </w:pPr>
          </w:p>
        </w:tc>
        <w:tc>
          <w:tcPr>
            <w:tcW w:w="924" w:type="dxa"/>
            <w:vMerge w:val="continue"/>
            <w:noWrap w:val="0"/>
            <w:vAlign w:val="center"/>
          </w:tcPr>
          <w:p>
            <w:pPr>
              <w:widowControl w:val="0"/>
              <w:spacing w:line="360" w:lineRule="auto"/>
              <w:rPr>
                <w:rFonts w:ascii="Times New Roman" w:hAnsi="Times New Roman" w:eastAsia="宋体" w:cs="宋体"/>
                <w:color w:val="auto"/>
                <w:kern w:val="0"/>
                <w:szCs w:val="21"/>
                <w:highlight w:val="none"/>
              </w:rPr>
            </w:pPr>
          </w:p>
        </w:tc>
        <w:tc>
          <w:tcPr>
            <w:tcW w:w="4923" w:type="dxa"/>
            <w:gridSpan w:val="2"/>
            <w:noWrap w:val="0"/>
            <w:vAlign w:val="center"/>
          </w:tcPr>
          <w:p>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3、安全及文明施工保障措施（</w:t>
            </w:r>
            <w:r>
              <w:rPr>
                <w:rFonts w:hint="eastAsia" w:cs="宋体"/>
                <w:color w:val="auto"/>
                <w:kern w:val="0"/>
                <w:szCs w:val="21"/>
                <w:highlight w:val="none"/>
                <w:lang w:val="en-US" w:eastAsia="zh-CN"/>
              </w:rPr>
              <w:t>3</w:t>
            </w:r>
            <w:r>
              <w:rPr>
                <w:rFonts w:hint="default" w:ascii="Times New Roman" w:hAnsi="Times New Roman" w:eastAsia="宋体" w:cs="宋体"/>
                <w:color w:val="auto"/>
                <w:kern w:val="0"/>
                <w:szCs w:val="21"/>
                <w:highlight w:val="none"/>
              </w:rPr>
              <w:t>分）</w:t>
            </w:r>
          </w:p>
          <w:p>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default" w:ascii="Times New Roman" w:hAnsi="Times New Roman" w:eastAsia="宋体" w:cs="宋体"/>
                <w:color w:val="auto"/>
                <w:kern w:val="0"/>
                <w:szCs w:val="21"/>
                <w:highlight w:val="none"/>
              </w:rPr>
              <w:t>分；</w:t>
            </w:r>
          </w:p>
          <w:p>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default" w:ascii="Times New Roman" w:hAnsi="Times New Roman" w:eastAsia="宋体" w:cs="宋体"/>
                <w:color w:val="auto"/>
                <w:kern w:val="0"/>
                <w:szCs w:val="21"/>
                <w:highlight w:val="none"/>
              </w:rPr>
              <w:t>分；</w:t>
            </w:r>
          </w:p>
          <w:p>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方案措施内容粗略，针对性有所欠缺得1分；</w:t>
            </w:r>
          </w:p>
          <w:p>
            <w:pPr>
              <w:widowControl w:val="0"/>
              <w:spacing w:line="360" w:lineRule="auto"/>
              <w:jc w:val="left"/>
              <w:rPr>
                <w:rFonts w:hint="default" w:ascii="Times New Roman" w:hAnsi="Times New Roman" w:eastAsia="宋体" w:cs="宋体"/>
                <w:color w:val="auto"/>
                <w:kern w:val="0"/>
                <w:sz w:val="24"/>
                <w:szCs w:val="24"/>
                <w:highlight w:val="none"/>
              </w:rPr>
            </w:pPr>
            <w:r>
              <w:rPr>
                <w:rFonts w:hint="default" w:ascii="Times New Roman" w:hAnsi="Times New Roman" w:eastAsia="宋体" w:cs="宋体"/>
                <w:color w:val="auto"/>
                <w:kern w:val="0"/>
                <w:szCs w:val="21"/>
                <w:highlight w:val="none"/>
              </w:rPr>
              <w:t>缺项得0分。</w:t>
            </w:r>
          </w:p>
        </w:tc>
        <w:tc>
          <w:tcPr>
            <w:tcW w:w="556"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pPr>
              <w:widowControl w:val="0"/>
              <w:spacing w:line="360" w:lineRule="auto"/>
              <w:rPr>
                <w:rStyle w:val="123"/>
                <w:rFonts w:cs="宋体"/>
                <w:color w:val="auto"/>
                <w:kern w:val="0"/>
                <w:sz w:val="21"/>
                <w:szCs w:val="21"/>
                <w:highlight w:val="none"/>
              </w:rPr>
            </w:pPr>
          </w:p>
        </w:tc>
        <w:tc>
          <w:tcPr>
            <w:tcW w:w="707" w:type="dxa"/>
            <w:vMerge w:val="continue"/>
            <w:noWrap w:val="0"/>
            <w:vAlign w:val="center"/>
          </w:tcPr>
          <w:p>
            <w:pPr>
              <w:widowControl w:val="0"/>
              <w:spacing w:line="360" w:lineRule="auto"/>
              <w:jc w:val="center"/>
              <w:rPr>
                <w:rFonts w:ascii="Times New Roman" w:hAnsi="Times New Roman" w:eastAsia="宋体" w:cs="宋体"/>
                <w:color w:val="auto"/>
                <w:kern w:val="0"/>
                <w:szCs w:val="21"/>
                <w:highlight w:val="none"/>
              </w:rPr>
            </w:pPr>
          </w:p>
        </w:tc>
        <w:tc>
          <w:tcPr>
            <w:tcW w:w="924" w:type="dxa"/>
            <w:vMerge w:val="continue"/>
            <w:noWrap w:val="0"/>
            <w:vAlign w:val="center"/>
          </w:tcPr>
          <w:p>
            <w:pPr>
              <w:widowControl w:val="0"/>
              <w:spacing w:line="360" w:lineRule="auto"/>
              <w:rPr>
                <w:rFonts w:ascii="Times New Roman" w:hAnsi="Times New Roman" w:eastAsia="宋体" w:cs="宋体"/>
                <w:color w:val="auto"/>
                <w:kern w:val="0"/>
                <w:szCs w:val="21"/>
                <w:highlight w:val="none"/>
              </w:rPr>
            </w:pPr>
          </w:p>
        </w:tc>
        <w:tc>
          <w:tcPr>
            <w:tcW w:w="4923" w:type="dxa"/>
            <w:gridSpan w:val="2"/>
            <w:noWrap w:val="0"/>
            <w:vAlign w:val="center"/>
          </w:tcPr>
          <w:p>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4、关键技术工艺、重点难点分析解决方案（</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pPr>
              <w:widowControl w:val="0"/>
              <w:spacing w:line="36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pPr>
              <w:widowControl w:val="0"/>
              <w:spacing w:line="360" w:lineRule="auto"/>
              <w:rPr>
                <w:rStyle w:val="123"/>
                <w:rFonts w:cs="宋体"/>
                <w:color w:val="auto"/>
                <w:kern w:val="0"/>
                <w:sz w:val="21"/>
                <w:szCs w:val="21"/>
                <w:highlight w:val="none"/>
              </w:rPr>
            </w:pPr>
          </w:p>
        </w:tc>
        <w:tc>
          <w:tcPr>
            <w:tcW w:w="707" w:type="dxa"/>
            <w:noWrap w:val="0"/>
            <w:vAlign w:val="center"/>
          </w:tcPr>
          <w:p>
            <w:pPr>
              <w:widowControl w:val="0"/>
              <w:spacing w:line="360" w:lineRule="auto"/>
              <w:jc w:val="center"/>
              <w:rPr>
                <w:rFonts w:hint="eastAsia" w:ascii="Times New Roman" w:hAnsi="Times New Roman" w:eastAsia="宋体" w:cs="宋体"/>
                <w:color w:val="auto"/>
                <w:kern w:val="0"/>
                <w:szCs w:val="21"/>
                <w:highlight w:val="none"/>
                <w:lang w:val="en-US" w:eastAsia="zh-CN"/>
              </w:rPr>
            </w:pPr>
            <w:r>
              <w:rPr>
                <w:rFonts w:hint="eastAsia" w:cs="宋体"/>
                <w:color w:val="auto"/>
                <w:kern w:val="0"/>
                <w:szCs w:val="21"/>
                <w:highlight w:val="none"/>
                <w:lang w:val="en-US" w:eastAsia="zh-CN"/>
              </w:rPr>
              <w:t>3</w:t>
            </w:r>
          </w:p>
        </w:tc>
        <w:tc>
          <w:tcPr>
            <w:tcW w:w="924" w:type="dxa"/>
            <w:noWrap w:val="0"/>
            <w:vAlign w:val="center"/>
          </w:tcPr>
          <w:p>
            <w:pPr>
              <w:widowControl w:val="0"/>
              <w:spacing w:line="360" w:lineRule="auto"/>
              <w:rPr>
                <w:rFonts w:hint="eastAsia" w:ascii="Times New Roman" w:hAnsi="Times New Roman" w:eastAsia="宋体" w:cs="宋体"/>
                <w:color w:val="auto"/>
                <w:kern w:val="0"/>
                <w:szCs w:val="21"/>
                <w:highlight w:val="none"/>
                <w:lang w:eastAsia="zh-CN"/>
              </w:rPr>
            </w:pPr>
            <w:r>
              <w:rPr>
                <w:rFonts w:hint="eastAsia" w:ascii="Times New Roman" w:hAnsi="Times New Roman" w:eastAsia="宋体" w:cs="宋体"/>
                <w:color w:val="auto"/>
                <w:kern w:val="0"/>
                <w:szCs w:val="21"/>
                <w:highlight w:val="none"/>
              </w:rPr>
              <w:t>售后服务方案</w:t>
            </w:r>
            <w:r>
              <w:rPr>
                <w:rFonts w:hint="eastAsia" w:cs="宋体"/>
                <w:color w:val="auto"/>
                <w:kern w:val="0"/>
                <w:szCs w:val="21"/>
                <w:highlight w:val="none"/>
                <w:lang w:eastAsia="zh-CN"/>
              </w:rPr>
              <w:t>（</w:t>
            </w:r>
            <w:r>
              <w:rPr>
                <w:rFonts w:hint="eastAsia" w:cs="宋体"/>
                <w:color w:val="auto"/>
                <w:kern w:val="0"/>
                <w:szCs w:val="21"/>
                <w:highlight w:val="none"/>
                <w:lang w:val="en-US" w:eastAsia="zh-CN"/>
              </w:rPr>
              <w:t>3分</w:t>
            </w:r>
            <w:r>
              <w:rPr>
                <w:rFonts w:hint="eastAsia" w:cs="宋体"/>
                <w:color w:val="auto"/>
                <w:kern w:val="0"/>
                <w:szCs w:val="21"/>
                <w:highlight w:val="none"/>
                <w:lang w:eastAsia="zh-CN"/>
              </w:rPr>
              <w:t>）</w:t>
            </w:r>
          </w:p>
          <w:p>
            <w:pPr>
              <w:widowControl w:val="0"/>
              <w:spacing w:line="360" w:lineRule="auto"/>
              <w:rPr>
                <w:rFonts w:ascii="Times New Roman" w:hAnsi="Times New Roman" w:eastAsia="宋体" w:cs="宋体"/>
                <w:color w:val="auto"/>
                <w:kern w:val="0"/>
                <w:szCs w:val="21"/>
                <w:highlight w:val="none"/>
              </w:rPr>
            </w:pPr>
          </w:p>
        </w:tc>
        <w:tc>
          <w:tcPr>
            <w:tcW w:w="4923" w:type="dxa"/>
            <w:gridSpan w:val="2"/>
            <w:noWrap w:val="0"/>
            <w:vAlign w:val="center"/>
          </w:tcPr>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pPr>
              <w:widowControl w:val="0"/>
              <w:spacing w:line="360" w:lineRule="auto"/>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pPr>
              <w:widowControl w:val="0"/>
              <w:spacing w:line="360" w:lineRule="auto"/>
              <w:jc w:val="center"/>
              <w:rPr>
                <w:rFonts w:hint="eastAsia" w:ascii="Times New Roman" w:hAnsi="Times New Roman" w:eastAsia="宋体" w:cs="宋体"/>
                <w:color w:val="auto"/>
                <w:kern w:val="0"/>
                <w:szCs w:val="21"/>
                <w:highlight w:val="none"/>
                <w:lang w:val="en-US" w:eastAsia="zh-CN"/>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bl>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1.评标方法</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本次评标采用</w:t>
      </w:r>
      <w:r>
        <w:rPr>
          <w:rFonts w:hint="eastAsia" w:ascii="宋体" w:hAnsi="宋体" w:eastAsia="宋体" w:cs="宋体"/>
          <w:b/>
          <w:bCs/>
          <w:color w:val="auto"/>
          <w:kern w:val="0"/>
          <w:sz w:val="24"/>
          <w:szCs w:val="24"/>
          <w:highlight w:val="none"/>
          <w:u w:val="single"/>
        </w:rPr>
        <w:t>综合评分法</w:t>
      </w:r>
      <w:r>
        <w:rPr>
          <w:rFonts w:hint="eastAsia" w:ascii="宋体" w:hAnsi="宋体" w:eastAsia="宋体" w:cs="宋体"/>
          <w:color w:val="auto"/>
          <w:kern w:val="0"/>
          <w:sz w:val="24"/>
          <w:szCs w:val="24"/>
          <w:highlight w:val="none"/>
        </w:rPr>
        <w:t>。评标委员会对满足招标文件实质要求的投标文件，按照本章第2.</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款规定的评分标准进行打分，并按得分由高到低顺序推荐中标候选人。评分相等时，以投标报价低的优先；投标报价也相等的，抽签决定排名顺序。</w:t>
      </w:r>
    </w:p>
    <w:p>
      <w:pPr>
        <w:pStyle w:val="4"/>
        <w:adjustRightInd w:val="0"/>
        <w:snapToGrid w:val="0"/>
        <w:ind w:firstLine="482" w:firstLineChars="200"/>
        <w:jc w:val="both"/>
        <w:rPr>
          <w:rFonts w:hint="eastAsia" w:ascii="宋体" w:hAnsi="宋体" w:eastAsia="宋体" w:cs="宋体"/>
          <w:color w:val="auto"/>
          <w:kern w:val="0"/>
          <w:sz w:val="24"/>
          <w:szCs w:val="24"/>
          <w:highlight w:val="none"/>
        </w:rPr>
      </w:pPr>
      <w:bookmarkStart w:id="32" w:name="_Toc498006730"/>
      <w:r>
        <w:rPr>
          <w:rFonts w:hint="eastAsia" w:ascii="宋体" w:hAnsi="宋体" w:eastAsia="宋体" w:cs="宋体"/>
          <w:color w:val="auto"/>
          <w:kern w:val="0"/>
          <w:sz w:val="24"/>
          <w:szCs w:val="24"/>
          <w:highlight w:val="none"/>
        </w:rPr>
        <w:t>2.评审标准</w:t>
      </w:r>
      <w:bookmarkEnd w:id="32"/>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3" w:name="_Toc498006731"/>
      <w:r>
        <w:rPr>
          <w:rFonts w:hint="eastAsia" w:ascii="宋体" w:hAnsi="宋体" w:eastAsia="宋体" w:cs="宋体"/>
          <w:color w:val="auto"/>
          <w:kern w:val="0"/>
          <w:sz w:val="24"/>
          <w:szCs w:val="24"/>
          <w:highlight w:val="none"/>
        </w:rPr>
        <w:t>2.1评标入围</w:t>
      </w:r>
      <w:bookmarkEnd w:id="33"/>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2.1.1详见评标办法前附表评标入围所列</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4" w:name="_Toc498006732"/>
      <w:r>
        <w:rPr>
          <w:rFonts w:hint="eastAsia" w:ascii="宋体" w:hAnsi="宋体" w:eastAsia="宋体" w:cs="宋体"/>
          <w:color w:val="auto"/>
          <w:kern w:val="0"/>
          <w:sz w:val="24"/>
          <w:szCs w:val="24"/>
          <w:highlight w:val="none"/>
        </w:rPr>
        <w:t>2.2初步评审标准</w:t>
      </w:r>
      <w:bookmarkEnd w:id="34"/>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资格评审标准：见评标办法前附表。</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5" w:name="_Toc498006733"/>
      <w:r>
        <w:rPr>
          <w:rFonts w:hint="eastAsia" w:ascii="宋体" w:hAnsi="宋体" w:eastAsia="宋体" w:cs="宋体"/>
          <w:color w:val="auto"/>
          <w:kern w:val="0"/>
          <w:sz w:val="24"/>
          <w:szCs w:val="24"/>
          <w:highlight w:val="none"/>
        </w:rPr>
        <w:t>2.3详细评审</w:t>
      </w:r>
      <w:bookmarkEnd w:id="35"/>
    </w:p>
    <w:p>
      <w:pPr>
        <w:pStyle w:val="566"/>
        <w:snapToGrid w:val="0"/>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2.3.1评审因素及分值构成：见评标办法前附表；</w:t>
      </w:r>
    </w:p>
    <w:p>
      <w:pPr>
        <w:pStyle w:val="566"/>
        <w:snapToGrid w:val="0"/>
        <w:spacing w:line="360" w:lineRule="auto"/>
        <w:ind w:firstLine="480" w:firstLineChars="200"/>
        <w:jc w:val="both"/>
        <w:rPr>
          <w:rFonts w:hint="eastAsia" w:ascii="宋体" w:hAnsi="宋体"/>
          <w:color w:val="auto"/>
          <w:sz w:val="24"/>
          <w:szCs w:val="24"/>
          <w:highlight w:val="none"/>
          <w:lang w:val="zh-CN"/>
        </w:rPr>
      </w:pPr>
      <w:r>
        <w:rPr>
          <w:rFonts w:hint="eastAsia" w:ascii="宋体" w:hAnsi="宋体"/>
          <w:color w:val="auto"/>
          <w:sz w:val="24"/>
          <w:szCs w:val="24"/>
          <w:highlight w:val="none"/>
        </w:rPr>
        <w:t>2.3.2评标基准价计算方法：见评标办法前附表</w:t>
      </w:r>
      <w:r>
        <w:rPr>
          <w:rFonts w:hint="eastAsia" w:ascii="宋体" w:hAnsi="宋体"/>
          <w:color w:val="auto"/>
          <w:sz w:val="24"/>
          <w:szCs w:val="24"/>
          <w:highlight w:val="none"/>
          <w:lang w:val="zh-CN"/>
        </w:rPr>
        <w:t>。</w:t>
      </w:r>
    </w:p>
    <w:p>
      <w:pPr>
        <w:pStyle w:val="566"/>
        <w:snapToGrid w:val="0"/>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2.3.3评分标准</w:t>
      </w:r>
    </w:p>
    <w:p>
      <w:pPr>
        <w:pStyle w:val="566"/>
        <w:snapToGrid w:val="0"/>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 xml:space="preserve">投标报价评分标准：见评标办法前附表； </w:t>
      </w:r>
    </w:p>
    <w:p>
      <w:pPr>
        <w:pStyle w:val="4"/>
        <w:adjustRightInd w:val="0"/>
        <w:snapToGrid w:val="0"/>
        <w:ind w:firstLine="482" w:firstLineChars="200"/>
        <w:jc w:val="both"/>
        <w:rPr>
          <w:rFonts w:hint="eastAsia" w:ascii="宋体" w:hAnsi="宋体" w:eastAsia="宋体" w:cs="宋体"/>
          <w:color w:val="auto"/>
          <w:kern w:val="0"/>
          <w:sz w:val="24"/>
          <w:szCs w:val="24"/>
          <w:highlight w:val="none"/>
        </w:rPr>
      </w:pPr>
      <w:bookmarkStart w:id="36" w:name="_Toc498006734"/>
      <w:r>
        <w:rPr>
          <w:rFonts w:hint="eastAsia" w:ascii="宋体" w:hAnsi="宋体" w:eastAsia="宋体" w:cs="宋体"/>
          <w:color w:val="auto"/>
          <w:kern w:val="0"/>
          <w:sz w:val="24"/>
          <w:szCs w:val="24"/>
          <w:highlight w:val="none"/>
        </w:rPr>
        <w:t>3.评标程序</w:t>
      </w:r>
      <w:bookmarkEnd w:id="36"/>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7" w:name="_Toc498006735"/>
      <w:r>
        <w:rPr>
          <w:rFonts w:hint="eastAsia" w:ascii="宋体" w:hAnsi="宋体" w:eastAsia="宋体" w:cs="宋体"/>
          <w:color w:val="auto"/>
          <w:kern w:val="0"/>
          <w:sz w:val="24"/>
          <w:szCs w:val="24"/>
          <w:highlight w:val="none"/>
        </w:rPr>
        <w:t>3.1评标准备</w:t>
      </w:r>
      <w:bookmarkEnd w:id="37"/>
    </w:p>
    <w:p>
      <w:pPr>
        <w:widowControl w:val="0"/>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3.1.1评标委员会成员到达评标现场时应在签到表上签到以证明其出席。</w:t>
      </w:r>
    </w:p>
    <w:p>
      <w:pPr>
        <w:widowControl w:val="0"/>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3.1.2评标委员会成员首先推选一名评标委员会负责人，负责评标活动的组织领导工作。</w:t>
      </w:r>
    </w:p>
    <w:p>
      <w:pPr>
        <w:widowControl w:val="0"/>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3.1.3招标人或招标代理机构应向评标委员会提供评标所需的信息和数据。评标委员会负责人应组织评标委员会成员认真研究招标文件，未在招标文件中规定的标准和方法不得作为评标的依据。</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8" w:name="_Toc498006736"/>
      <w:r>
        <w:rPr>
          <w:rFonts w:hint="eastAsia" w:ascii="宋体" w:hAnsi="宋体" w:eastAsia="宋体" w:cs="宋体"/>
          <w:color w:val="auto"/>
          <w:kern w:val="0"/>
          <w:sz w:val="24"/>
          <w:szCs w:val="24"/>
          <w:highlight w:val="none"/>
        </w:rPr>
        <w:t>3.2资格入围</w:t>
      </w:r>
      <w:bookmarkEnd w:id="38"/>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评标委员会按本章2.1条规定的方法确定进入初步评审的投标人名单。</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9" w:name="_Toc498006737"/>
      <w:r>
        <w:rPr>
          <w:rFonts w:hint="eastAsia" w:ascii="宋体" w:hAnsi="宋体" w:eastAsia="宋体" w:cs="宋体"/>
          <w:color w:val="auto"/>
          <w:kern w:val="0"/>
          <w:sz w:val="24"/>
          <w:szCs w:val="24"/>
          <w:highlight w:val="none"/>
        </w:rPr>
        <w:t>3.3初步评审</w:t>
      </w:r>
      <w:bookmarkEnd w:id="39"/>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3.3.1资格评审</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评标委员会根据本章第2.2.2款列出的评审标准，有一项不符合评审标准的，作无效标处理。</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澄清、说明或补正</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在初步评审过程中，评标委员会应当就投标文件中不明确的内容要求投标人进行澄清、说明或补正，澄清、说明或补正按照本章第3.5款的规定进行。</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40" w:name="_Toc498006738"/>
      <w:r>
        <w:rPr>
          <w:rFonts w:hint="eastAsia" w:ascii="宋体" w:hAnsi="宋体" w:eastAsia="宋体" w:cs="宋体"/>
          <w:color w:val="auto"/>
          <w:kern w:val="0"/>
          <w:sz w:val="24"/>
          <w:szCs w:val="24"/>
          <w:highlight w:val="none"/>
        </w:rPr>
        <w:t>3.4详细评审</w:t>
      </w:r>
      <w:bookmarkEnd w:id="40"/>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3.4.1按本章第2.3.2规定的方法确定评标基准价。</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3.4.2评标委员会按本章第2.3款规定的量化因素和分值进行打分，并计算出最终得分。</w:t>
      </w:r>
    </w:p>
    <w:p>
      <w:pPr>
        <w:widowControl w:val="0"/>
        <w:adjustRightInd w:val="0"/>
        <w:snapToGrid w:val="0"/>
        <w:spacing w:line="360" w:lineRule="auto"/>
        <w:ind w:firstLine="480" w:firstLineChars="200"/>
        <w:rPr>
          <w:rFonts w:hint="eastAsia"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3.4.3评分分值计算保留小数点后两位，小数点后第三位“四舍五入”</w:t>
      </w:r>
      <w:r>
        <w:rPr>
          <w:rFonts w:hint="eastAsia" w:ascii="宋体" w:hAnsi="宋体" w:eastAsia="宋体" w:cs="宋体"/>
          <w:b/>
          <w:color w:val="auto"/>
          <w:kern w:val="0"/>
          <w:sz w:val="24"/>
          <w:szCs w:val="24"/>
          <w:highlight w:val="none"/>
        </w:rPr>
        <w:t>。</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41" w:name="_Toc498006739"/>
      <w:r>
        <w:rPr>
          <w:rFonts w:hint="eastAsia" w:ascii="宋体" w:hAnsi="宋体" w:eastAsia="宋体" w:cs="宋体"/>
          <w:color w:val="auto"/>
          <w:kern w:val="0"/>
          <w:sz w:val="24"/>
          <w:szCs w:val="24"/>
          <w:highlight w:val="none"/>
        </w:rPr>
        <w:t>3.5投标文件的澄清和补正</w:t>
      </w:r>
      <w:bookmarkEnd w:id="41"/>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3.5.1在评标过程中，评标委员会应当以书面形式要求投标人对所提交的投标文件中不明确的内容进行书面澄清或说明。评标委员会不接受投标人主动提出的澄清、说明或补正。</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3.5.2澄清、说明和补正不得改变投标文件的实质性内容。投标人的书面澄清、说明和补正属于投标文件的组成部分。</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3.5.3评标委员会对投标人提交的澄清、说明或补正有疑问的，可以要求投标人进一步澄清、说明或补正，直至满足评标委员会的要求。</w:t>
      </w:r>
    </w:p>
    <w:p>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42" w:name="_Toc498006740"/>
      <w:r>
        <w:rPr>
          <w:rFonts w:hint="eastAsia" w:ascii="宋体" w:hAnsi="宋体" w:eastAsia="宋体" w:cs="宋体"/>
          <w:color w:val="auto"/>
          <w:kern w:val="0"/>
          <w:sz w:val="24"/>
          <w:szCs w:val="24"/>
          <w:highlight w:val="none"/>
        </w:rPr>
        <w:t>3.6</w:t>
      </w:r>
      <w:bookmarkEnd w:id="42"/>
      <w:r>
        <w:rPr>
          <w:rFonts w:hint="eastAsia" w:ascii="宋体" w:hAnsi="宋体" w:eastAsia="宋体" w:cs="宋体"/>
          <w:color w:val="auto"/>
          <w:kern w:val="0"/>
          <w:sz w:val="24"/>
          <w:szCs w:val="24"/>
          <w:highlight w:val="none"/>
        </w:rPr>
        <w:t>推荐中标候选人</w:t>
      </w:r>
    </w:p>
    <w:p>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评标委员会在推荐中标候选人时，应遵照以下原则:</w:t>
      </w:r>
    </w:p>
    <w:p>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3.6.1评标委员会按照最终得分由高至低的次序排列，推荐1-3名中标候选人。</w:t>
      </w:r>
    </w:p>
    <w:p>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3.6.2如果评标委员会根据本章的规定作无效标处理后，有效投标不足三个，评标委员会应当对是否具有竞争性进行判断：有竞争性的，按有效投标最终得分由高至低的次序推荐中标候选人；缺乏竞争的，评标委员会应当否决全部投标。</w:t>
      </w:r>
    </w:p>
    <w:p>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3.6.3评标委员会完成评标后，应当向招标人提交评标报告。</w:t>
      </w:r>
    </w:p>
    <w:p>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3.6.4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pPr>
        <w:tabs>
          <w:tab w:val="left" w:pos="0"/>
          <w:tab w:val="left" w:pos="993"/>
          <w:tab w:val="left" w:pos="1134"/>
        </w:tabs>
        <w:adjustRightInd w:val="0"/>
        <w:snapToGrid w:val="0"/>
        <w:spacing w:line="360" w:lineRule="auto"/>
        <w:ind w:firstLine="482" w:firstLineChars="200"/>
        <w:jc w:val="left"/>
        <w:rPr>
          <w:rFonts w:hint="eastAsia" w:ascii="宋体" w:hAnsi="宋体" w:cs="宋体"/>
          <w:b/>
          <w:color w:val="auto"/>
          <w:kern w:val="0"/>
          <w:szCs w:val="23"/>
          <w:highlight w:val="none"/>
        </w:rPr>
      </w:pPr>
      <w:r>
        <w:rPr>
          <w:rStyle w:val="123"/>
          <w:rFonts w:hint="eastAsia" w:ascii="宋体" w:hAnsi="宋体" w:eastAsia="宋体" w:cs="宋体"/>
          <w:b/>
          <w:bCs/>
          <w:color w:val="auto"/>
          <w:kern w:val="0"/>
          <w:sz w:val="24"/>
          <w:highlight w:val="none"/>
        </w:rPr>
        <w:t>3.6.5 评标过程如遇特殊情况，评标委员会具有最终解释权。</w:t>
      </w:r>
    </w:p>
    <w:p>
      <w:pPr>
        <w:pStyle w:val="35"/>
        <w:adjustRightInd w:val="0"/>
        <w:spacing w:line="360" w:lineRule="auto"/>
        <w:rPr>
          <w:rFonts w:hint="eastAsia" w:ascii="宋体" w:hAnsi="宋体" w:cs="宋体"/>
          <w:color w:val="auto"/>
          <w:kern w:val="0"/>
          <w:highlight w:val="none"/>
        </w:rPr>
      </w:pPr>
    </w:p>
    <w:p>
      <w:pPr>
        <w:pStyle w:val="3"/>
        <w:adjustRightInd w:val="0"/>
        <w:snapToGrid w:val="0"/>
        <w:rPr>
          <w:rStyle w:val="80"/>
          <w:rFonts w:hint="eastAsia" w:ascii="宋体" w:hAnsi="宋体" w:cs="宋体"/>
          <w:b/>
          <w:bCs/>
          <w:color w:val="auto"/>
          <w:kern w:val="0"/>
          <w:highlight w:val="none"/>
        </w:rPr>
      </w:pPr>
      <w:bookmarkStart w:id="43" w:name="_Toc48207458"/>
      <w:r>
        <w:rPr>
          <w:rFonts w:hint="eastAsia" w:ascii="宋体" w:hAnsi="宋体" w:cs="宋体"/>
          <w:b w:val="0"/>
          <w:color w:val="auto"/>
          <w:kern w:val="0"/>
          <w:szCs w:val="32"/>
          <w:highlight w:val="none"/>
        </w:rPr>
        <w:br w:type="page"/>
      </w:r>
      <w:r>
        <w:rPr>
          <w:rStyle w:val="80"/>
          <w:rFonts w:hint="eastAsia" w:ascii="宋体" w:hAnsi="宋体" w:cs="宋体"/>
          <w:b/>
          <w:bCs/>
          <w:color w:val="auto"/>
          <w:kern w:val="0"/>
          <w:highlight w:val="none"/>
        </w:rPr>
        <w:t>第三章 建设工程施工合同</w:t>
      </w:r>
      <w:bookmarkEnd w:id="29"/>
      <w:bookmarkEnd w:id="30"/>
      <w:bookmarkEnd w:id="31"/>
      <w:bookmarkEnd w:id="43"/>
    </w:p>
    <w:p>
      <w:pPr>
        <w:pStyle w:val="35"/>
        <w:adjustRightInd w:val="0"/>
        <w:spacing w:line="360" w:lineRule="auto"/>
        <w:rPr>
          <w:rFonts w:hint="eastAsia" w:ascii="宋体" w:hAnsi="宋体" w:cs="宋体"/>
          <w:color w:val="auto"/>
          <w:kern w:val="0"/>
          <w:highlight w:val="none"/>
        </w:rPr>
      </w:pPr>
    </w:p>
    <w:p>
      <w:pPr>
        <w:adjustRightInd w:val="0"/>
        <w:snapToGrid w:val="0"/>
        <w:spacing w:line="360" w:lineRule="auto"/>
        <w:jc w:val="center"/>
        <w:rPr>
          <w:rFonts w:hint="eastAsia" w:ascii="宋体" w:hAnsi="宋体" w:cs="宋体"/>
          <w:b/>
          <w:color w:val="auto"/>
          <w:kern w:val="0"/>
          <w:sz w:val="52"/>
          <w:szCs w:val="52"/>
          <w:highlight w:val="none"/>
        </w:rPr>
      </w:pPr>
    </w:p>
    <w:p>
      <w:pPr>
        <w:adjustRightInd w:val="0"/>
        <w:snapToGrid w:val="0"/>
        <w:spacing w:line="360" w:lineRule="auto"/>
        <w:jc w:val="center"/>
        <w:rPr>
          <w:rFonts w:hint="eastAsia" w:ascii="宋体" w:hAnsi="宋体" w:cs="宋体"/>
          <w:b/>
          <w:color w:val="auto"/>
          <w:kern w:val="0"/>
          <w:sz w:val="52"/>
          <w:szCs w:val="52"/>
          <w:highlight w:val="none"/>
        </w:rPr>
      </w:pPr>
    </w:p>
    <w:p>
      <w:pPr>
        <w:adjustRightInd w:val="0"/>
        <w:snapToGrid w:val="0"/>
        <w:spacing w:line="360" w:lineRule="auto"/>
        <w:jc w:val="center"/>
        <w:rPr>
          <w:rFonts w:hint="eastAsia" w:ascii="宋体" w:hAnsi="宋体" w:cs="宋体"/>
          <w:b/>
          <w:color w:val="auto"/>
          <w:kern w:val="0"/>
          <w:sz w:val="52"/>
          <w:szCs w:val="52"/>
          <w:highlight w:val="none"/>
        </w:rPr>
      </w:pPr>
    </w:p>
    <w:p>
      <w:pPr>
        <w:adjustRightInd w:val="0"/>
        <w:snapToGrid w:val="0"/>
        <w:spacing w:line="360" w:lineRule="auto"/>
        <w:ind w:firstLine="1446" w:firstLineChars="400"/>
        <w:jc w:val="center"/>
        <w:rPr>
          <w:rFonts w:hint="eastAsia" w:ascii="宋体" w:hAnsi="宋体" w:cs="宋体"/>
          <w:b/>
          <w:bCs/>
          <w:color w:val="auto"/>
          <w:kern w:val="0"/>
          <w:sz w:val="36"/>
          <w:szCs w:val="36"/>
          <w:highlight w:val="none"/>
        </w:rPr>
      </w:pPr>
    </w:p>
    <w:p>
      <w:pPr>
        <w:adjustRightInd w:val="0"/>
        <w:snapToGrid w:val="0"/>
        <w:spacing w:line="360" w:lineRule="auto"/>
        <w:ind w:firstLine="1446" w:firstLineChars="400"/>
        <w:jc w:val="center"/>
        <w:rPr>
          <w:rFonts w:hint="eastAsia" w:ascii="宋体" w:hAnsi="宋体" w:cs="宋体"/>
          <w:b/>
          <w:bCs/>
          <w:color w:val="auto"/>
          <w:kern w:val="0"/>
          <w:sz w:val="36"/>
          <w:szCs w:val="36"/>
          <w:highlight w:val="none"/>
        </w:rPr>
      </w:pPr>
    </w:p>
    <w:p>
      <w:pPr>
        <w:adjustRightInd w:val="0"/>
        <w:snapToGrid w:val="0"/>
        <w:spacing w:line="360" w:lineRule="auto"/>
        <w:jc w:val="center"/>
        <w:rPr>
          <w:rFonts w:hint="eastAsia"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施工合同</w:t>
      </w:r>
    </w:p>
    <w:p>
      <w:pPr>
        <w:adjustRightInd w:val="0"/>
        <w:snapToGrid w:val="0"/>
        <w:spacing w:line="360" w:lineRule="auto"/>
        <w:jc w:val="center"/>
        <w:rPr>
          <w:rFonts w:hint="eastAsia" w:ascii="宋体" w:hAnsi="宋体" w:cs="宋体"/>
          <w:b/>
          <w:bCs/>
          <w:color w:val="auto"/>
          <w:kern w:val="0"/>
          <w:sz w:val="36"/>
          <w:szCs w:val="36"/>
          <w:highlight w:val="none"/>
        </w:rPr>
      </w:pPr>
    </w:p>
    <w:p>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color w:val="auto"/>
          <w:sz w:val="32"/>
          <w:szCs w:val="32"/>
          <w:highlight w:val="none"/>
        </w:rPr>
      </w:pPr>
      <w:r>
        <w:rPr>
          <w:rFonts w:hint="eastAsia" w:cs="宋体"/>
          <w:b/>
          <w:bCs/>
          <w:color w:val="auto"/>
          <w:sz w:val="32"/>
          <w:szCs w:val="32"/>
          <w:highlight w:val="none"/>
        </w:rPr>
        <w:t>（合同编号：            ）</w:t>
      </w:r>
    </w:p>
    <w:p>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color w:val="auto"/>
          <w:highlight w:val="none"/>
          <w:u w:val="single"/>
          <w:shd w:val="clear" w:color="auto" w:fill="FFFFFF"/>
          <w:lang w:eastAsia="zh-CN"/>
        </w:rPr>
      </w:pPr>
      <w:r>
        <w:rPr>
          <w:rFonts w:hint="eastAsia" w:cs="宋体"/>
          <w:b/>
          <w:bCs/>
          <w:color w:val="auto"/>
          <w:sz w:val="32"/>
          <w:szCs w:val="32"/>
          <w:highlight w:val="none"/>
        </w:rPr>
        <w:br w:type="page"/>
      </w:r>
      <w:bookmarkStart w:id="44" w:name="_Toc522571276"/>
      <w:r>
        <w:rPr>
          <w:rFonts w:hint="eastAsia" w:cs="宋体"/>
          <w:color w:val="auto"/>
          <w:highlight w:val="none"/>
          <w:shd w:val="clear" w:color="auto" w:fill="FFFFFF"/>
        </w:rPr>
        <w:t>发包方（甲方）：</w:t>
      </w:r>
      <w:r>
        <w:rPr>
          <w:rFonts w:hint="eastAsia" w:cs="宋体"/>
          <w:color w:val="auto"/>
          <w:highlight w:val="none"/>
          <w:u w:val="single"/>
          <w:shd w:val="clear" w:color="auto" w:fill="FFFFFF"/>
          <w:lang w:eastAsia="zh-CN"/>
        </w:rPr>
        <w:t>江苏南通二棉有限公司</w:t>
      </w:r>
    </w:p>
    <w:p>
      <w:pPr>
        <w:pStyle w:val="55"/>
        <w:widowControl w:val="0"/>
        <w:shd w:val="clear" w:color="auto" w:fill="FFFFFF"/>
        <w:adjustRightInd w:val="0"/>
        <w:snapToGrid w:val="0"/>
        <w:spacing w:before="0" w:beforeAutospacing="0" w:after="0" w:afterAutospacing="0" w:line="360" w:lineRule="auto"/>
        <w:textAlignment w:val="baseline"/>
        <w:rPr>
          <w:rFonts w:hint="eastAsia" w:cs="宋体"/>
          <w:color w:val="auto"/>
          <w:highlight w:val="none"/>
          <w:u w:val="single"/>
          <w:shd w:val="clear" w:color="auto" w:fill="FFFFFF"/>
        </w:rPr>
      </w:pPr>
      <w:r>
        <w:rPr>
          <w:rFonts w:hint="eastAsia" w:cs="宋体"/>
          <w:color w:val="auto"/>
          <w:highlight w:val="none"/>
          <w:shd w:val="clear" w:color="auto" w:fill="FFFFFF"/>
        </w:rPr>
        <w:t>承包方（乙方）：</w:t>
      </w:r>
      <w:r>
        <w:rPr>
          <w:rFonts w:hint="eastAsia" w:cs="宋体"/>
          <w:color w:val="auto"/>
          <w:highlight w:val="none"/>
          <w:u w:val="single"/>
          <w:shd w:val="clear" w:color="auto" w:fill="FFFFFF"/>
        </w:rPr>
        <w:t xml:space="preserve">                   </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兹有乙方现承包甲方发包的工程，根据有关法律、法规的规定，结合本工程的具体情况，甲、乙双方在平等、自愿的基础上协商一致，达成如下条款，并共同遵守执行。</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第一、工程概况：</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color w:val="auto"/>
          <w:highlight w:val="none"/>
          <w:shd w:val="clear" w:color="auto" w:fill="FFFFFF"/>
          <w:lang w:eastAsia="zh-CN"/>
        </w:rPr>
      </w:pPr>
      <w:r>
        <w:rPr>
          <w:rFonts w:hint="eastAsia" w:cs="宋体"/>
          <w:color w:val="auto"/>
          <w:highlight w:val="none"/>
          <w:shd w:val="clear" w:color="auto" w:fill="FFFFFF"/>
        </w:rPr>
        <w:t>1、工程名称：</w:t>
      </w:r>
      <w:r>
        <w:rPr>
          <w:rFonts w:hint="eastAsia" w:cs="宋体"/>
          <w:color w:val="auto"/>
          <w:highlight w:val="none"/>
          <w:shd w:val="clear" w:color="auto" w:fill="FFFFFF"/>
          <w:lang w:eastAsia="zh-CN"/>
        </w:rPr>
        <w:t>二棉厂区绿化工程</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2、工程地点：江苏省南通市崇川区大生1号</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3、承包内容：</w:t>
      </w:r>
      <w:r>
        <w:rPr>
          <w:rFonts w:hint="eastAsia" w:ascii="宋体" w:hAnsi="宋体" w:cs="宋体"/>
          <w:color w:val="auto"/>
          <w:kern w:val="0"/>
          <w:sz w:val="24"/>
          <w:highlight w:val="none"/>
        </w:rPr>
        <w:t>施工内容具体详见工程量清单及</w:t>
      </w:r>
      <w:r>
        <w:rPr>
          <w:rFonts w:hint="eastAsia" w:cs="宋体"/>
          <w:color w:val="auto"/>
          <w:kern w:val="0"/>
          <w:sz w:val="24"/>
          <w:highlight w:val="none"/>
          <w:lang w:val="en-US" w:eastAsia="zh-CN"/>
        </w:rPr>
        <w:t>附件</w:t>
      </w:r>
      <w:r>
        <w:rPr>
          <w:rFonts w:hint="eastAsia" w:ascii="宋体" w:hAnsi="宋体" w:cs="宋体"/>
          <w:color w:val="auto"/>
          <w:kern w:val="0"/>
          <w:sz w:val="24"/>
          <w:highlight w:val="none"/>
        </w:rPr>
        <w:t>。</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4、质量要求：合格</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5、工期要求：总工期</w:t>
      </w:r>
      <w:r>
        <w:rPr>
          <w:rFonts w:hint="eastAsia" w:cs="宋体"/>
          <w:color w:val="auto"/>
          <w:highlight w:val="none"/>
          <w:shd w:val="clear" w:color="auto" w:fill="FFFFFF"/>
          <w:lang w:val="en-US" w:eastAsia="zh-CN"/>
        </w:rPr>
        <w:t>15</w:t>
      </w:r>
      <w:r>
        <w:rPr>
          <w:rFonts w:hint="eastAsia" w:cs="宋体"/>
          <w:color w:val="auto"/>
          <w:highlight w:val="none"/>
          <w:shd w:val="clear" w:color="auto" w:fill="FFFFFF"/>
        </w:rPr>
        <w:t>日历天，具体开工日期以发包方书面开工通知为准。如部分工程因发包方原因暂停施工，相应工期顺延。</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shd w:val="clear" w:color="auto" w:fill="FFFFFF"/>
        </w:rPr>
      </w:pPr>
      <w:r>
        <w:rPr>
          <w:rFonts w:hint="eastAsia" w:cs="宋体"/>
          <w:b/>
          <w:bCs/>
          <w:color w:val="auto"/>
          <w:highlight w:val="none"/>
          <w:shd w:val="clear" w:color="auto" w:fill="FFFFFF"/>
        </w:rPr>
        <w:t>第二、甲方责任：</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1、甲方指派一名经办人负责履行本</w:t>
      </w:r>
      <w:r>
        <w:rPr>
          <w:color w:val="auto"/>
          <w:highlight w:val="none"/>
        </w:rPr>
        <w:fldChar w:fldCharType="begin"/>
      </w:r>
      <w:r>
        <w:rPr>
          <w:color w:val="auto"/>
          <w:highlight w:val="none"/>
        </w:rPr>
        <w:instrText xml:space="preserve"> HYPERLINK "http://www.findlaw.cn/118200/" \t "http://china.findlaw.cn/fangdichan/jianzhugongcheng/wsfb/htfb/_blank" </w:instrText>
      </w:r>
      <w:r>
        <w:rPr>
          <w:color w:val="auto"/>
          <w:highlight w:val="none"/>
        </w:rPr>
        <w:fldChar w:fldCharType="separate"/>
      </w:r>
      <w:r>
        <w:rPr>
          <w:rStyle w:val="73"/>
          <w:rFonts w:cs="宋体"/>
          <w:color w:val="auto"/>
          <w:sz w:val="24"/>
          <w:szCs w:val="24"/>
          <w:highlight w:val="none"/>
          <w:shd w:val="clear" w:color="auto" w:fill="FFFFFF"/>
        </w:rPr>
        <w:t>合同</w:t>
      </w:r>
      <w:r>
        <w:rPr>
          <w:rStyle w:val="73"/>
          <w:rFonts w:cs="宋体"/>
          <w:color w:val="auto"/>
          <w:sz w:val="24"/>
          <w:szCs w:val="24"/>
          <w:highlight w:val="none"/>
          <w:shd w:val="clear" w:color="auto" w:fill="FFFFFF"/>
        </w:rPr>
        <w:fldChar w:fldCharType="end"/>
      </w:r>
      <w:r>
        <w:rPr>
          <w:rFonts w:hint="eastAsia" w:cs="宋体"/>
          <w:color w:val="auto"/>
          <w:highlight w:val="none"/>
          <w:shd w:val="clear" w:color="auto" w:fill="FFFFFF"/>
        </w:rPr>
        <w:t>的相关事宜，全面、全权负责现场的管理工作，对乙方的工程质量、进度、用料、安全文明施工进行监督、检查和验收。</w:t>
      </w:r>
    </w:p>
    <w:p>
      <w:pPr>
        <w:adjustRightInd w:val="0"/>
        <w:snapToGrid w:val="0"/>
        <w:spacing w:line="360" w:lineRule="auto"/>
        <w:ind w:firstLine="480" w:firstLineChars="200"/>
        <w:jc w:val="left"/>
        <w:rPr>
          <w:rFonts w:hint="eastAsia" w:ascii="宋体" w:hAnsi="宋体" w:cs="宋体"/>
          <w:color w:val="auto"/>
          <w:kern w:val="0"/>
          <w:sz w:val="24"/>
          <w:highlight w:val="none"/>
          <w:shd w:val="clear" w:color="auto" w:fill="FFFFFF"/>
        </w:rPr>
      </w:pPr>
      <w:r>
        <w:rPr>
          <w:rFonts w:hint="eastAsia" w:ascii="宋体" w:hAnsi="宋体" w:cs="宋体"/>
          <w:color w:val="auto"/>
          <w:kern w:val="0"/>
          <w:sz w:val="24"/>
          <w:highlight w:val="none"/>
          <w:shd w:val="clear" w:color="auto" w:fill="FFFFFF"/>
        </w:rPr>
        <w:t>2、甲方做好准备工作，提前3天通知乙方进场，工程完工后退场。</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shd w:val="clear" w:color="auto" w:fill="FFFFFF"/>
        </w:rPr>
        <w:t>3、对乙方进行操作规程、质量标准、进度要求、安全及文明施工等内容进行交底</w:t>
      </w:r>
      <w:r>
        <w:rPr>
          <w:rFonts w:hint="eastAsia" w:ascii="宋体" w:hAnsi="宋体" w:cs="宋体"/>
          <w:color w:val="auto"/>
          <w:kern w:val="0"/>
          <w:sz w:val="24"/>
          <w:highlight w:val="none"/>
        </w:rPr>
        <w:t>。</w:t>
      </w:r>
    </w:p>
    <w:p>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shd w:val="clear" w:color="auto" w:fill="FFFFFF"/>
        </w:rPr>
        <w:t>第三、乙方责任：</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1、乙方项目经理为驻工地代表，常驻现场，负责履行合同范围内的应尽职责，按照甲方要求组织施工，保质、保量、按期完成施工任务，服从甲方工地代表的监督和管理。</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2、做好承包范围内各相关工种间的交叉配合工作，竣工验收交前的成品保护工作由乙方负责。</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3、未经甲方同意，不得擅自拆改原建筑结构或设备管线。</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第四、关于质量的约定：</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1、乙方须严格按照甲方要求和施工图纸、作法说明及设计变更等进行施工，工程质量达到施工合同要求，相关质量验收规范作为本工程的质量评定验收标准。</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2、如因乙方责任原因造成质量不合格或不能通过验收，其返工费用由乙方承担，工期不顺延。</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3、</w:t>
      </w:r>
      <w:r>
        <w:rPr>
          <w:rFonts w:hint="eastAsia" w:ascii="宋体" w:hAnsi="宋体" w:cs="宋体"/>
          <w:b/>
          <w:bCs/>
          <w:color w:val="auto"/>
          <w:szCs w:val="24"/>
          <w:highlight w:val="none"/>
          <w:u w:val="single"/>
          <w:shd w:val="clear" w:color="auto" w:fill="FFFFFF"/>
        </w:rPr>
        <w:t>本工程养护期为两年，自竣工验收之日起计。</w:t>
      </w:r>
      <w:r>
        <w:rPr>
          <w:rFonts w:hint="eastAsia" w:ascii="宋体" w:hAnsi="宋体" w:cs="宋体"/>
          <w:color w:val="auto"/>
          <w:szCs w:val="24"/>
          <w:highlight w:val="none"/>
          <w:shd w:val="clear" w:color="auto" w:fill="FFFFFF"/>
        </w:rPr>
        <w:t>养护期内如发生质量问题，乙方须在甲方要求时间内无偿履行保修责任。</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highlight w:val="none"/>
        </w:rPr>
      </w:pPr>
      <w:r>
        <w:rPr>
          <w:rFonts w:hint="eastAsia" w:cs="宋体"/>
          <w:b/>
          <w:bCs/>
          <w:color w:val="auto"/>
          <w:highlight w:val="none"/>
          <w:shd w:val="clear" w:color="auto" w:fill="FFFFFF"/>
        </w:rPr>
        <w:t>第五、关于工期的约定：</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1、如因乙方责任造成中途无故停工、窝工而影响工期，工期不顺延。</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2、因</w:t>
      </w:r>
      <w:r>
        <w:rPr>
          <w:color w:val="auto"/>
          <w:highlight w:val="none"/>
        </w:rPr>
        <w:fldChar w:fldCharType="begin"/>
      </w:r>
      <w:r>
        <w:rPr>
          <w:color w:val="auto"/>
          <w:highlight w:val="none"/>
        </w:rPr>
        <w:instrText xml:space="preserve"> HYPERLINK "http://china.findlaw.cn/ask/question_41392738.html" \t "http://china.findlaw.cn/fangdichan/jianzhugongcheng/wsfb/htfb/_blank" </w:instrText>
      </w:r>
      <w:r>
        <w:rPr>
          <w:color w:val="auto"/>
          <w:highlight w:val="none"/>
        </w:rPr>
        <w:fldChar w:fldCharType="separate"/>
      </w:r>
      <w:r>
        <w:rPr>
          <w:rStyle w:val="73"/>
          <w:rFonts w:cs="宋体"/>
          <w:color w:val="auto"/>
          <w:sz w:val="24"/>
          <w:szCs w:val="24"/>
          <w:highlight w:val="none"/>
          <w:shd w:val="clear" w:color="auto" w:fill="FFFFFF"/>
        </w:rPr>
        <w:t>不可抗力</w:t>
      </w:r>
      <w:r>
        <w:rPr>
          <w:rStyle w:val="73"/>
          <w:rFonts w:cs="宋体"/>
          <w:color w:val="auto"/>
          <w:sz w:val="24"/>
          <w:szCs w:val="24"/>
          <w:highlight w:val="none"/>
          <w:shd w:val="clear" w:color="auto" w:fill="FFFFFF"/>
        </w:rPr>
        <w:fldChar w:fldCharType="end"/>
      </w:r>
      <w:r>
        <w:rPr>
          <w:rFonts w:hint="eastAsia" w:cs="宋体"/>
          <w:color w:val="auto"/>
          <w:highlight w:val="none"/>
          <w:shd w:val="clear" w:color="auto" w:fill="FFFFFF"/>
        </w:rPr>
        <w:t>的因素而影响工期，工期顺延。</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highlight w:val="none"/>
        </w:rPr>
      </w:pPr>
      <w:r>
        <w:rPr>
          <w:rFonts w:hint="eastAsia" w:cs="宋体"/>
          <w:b/>
          <w:bCs/>
          <w:color w:val="auto"/>
          <w:highlight w:val="none"/>
          <w:shd w:val="clear" w:color="auto" w:fill="FFFFFF"/>
        </w:rPr>
        <w:t>第六、关于价款和结算的约定：</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1</w:t>
      </w:r>
      <w:r>
        <w:rPr>
          <w:rFonts w:hint="eastAsia" w:cs="宋体"/>
          <w:b w:val="0"/>
          <w:bCs w:val="0"/>
          <w:color w:val="auto"/>
          <w:spacing w:val="0"/>
          <w:kern w:val="0"/>
          <w:position w:val="0"/>
          <w:sz w:val="24"/>
          <w:szCs w:val="24"/>
          <w:highlight w:val="none"/>
          <w:shd w:val="clear" w:color="auto" w:fill="FFFFFF"/>
          <w:lang w:eastAsia="zh-CN"/>
        </w:rPr>
        <w:t>、</w:t>
      </w:r>
      <w:r>
        <w:rPr>
          <w:rFonts w:hint="eastAsia" w:ascii="宋体" w:hAnsi="宋体" w:eastAsia="宋体" w:cs="宋体"/>
          <w:b w:val="0"/>
          <w:bCs w:val="0"/>
          <w:color w:val="auto"/>
          <w:spacing w:val="0"/>
          <w:kern w:val="0"/>
          <w:position w:val="0"/>
          <w:sz w:val="24"/>
          <w:szCs w:val="24"/>
          <w:highlight w:val="none"/>
          <w:shd w:val="clear" w:color="auto" w:fill="FFFFFF"/>
        </w:rPr>
        <w:t>签约合同价为：</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其中：</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（1）安全文明施工费：</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（2）材料和工程设备暂估价金额：</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（3）专业工程暂估价金额：</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u w:val="single"/>
          <w:shd w:val="clear" w:color="auto" w:fill="FFFFFF"/>
          <w:lang w:val="en-US" w:eastAsia="zh-CN"/>
        </w:rPr>
        <w:t xml:space="preserve"> </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（4）暂列金额：</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shd w:val="clear" w:color="auto" w:fill="FFFFFF"/>
        </w:rPr>
      </w:pPr>
      <w:r>
        <w:rPr>
          <w:rFonts w:hint="eastAsia" w:ascii="宋体" w:hAnsi="宋体" w:eastAsia="宋体" w:cs="宋体"/>
          <w:b/>
          <w:bCs/>
          <w:color w:val="auto"/>
          <w:spacing w:val="0"/>
          <w:kern w:val="0"/>
          <w:position w:val="0"/>
          <w:sz w:val="24"/>
          <w:szCs w:val="24"/>
          <w:highlight w:val="none"/>
          <w:shd w:val="clear" w:color="auto" w:fill="FFFFFF"/>
        </w:rPr>
        <w:t>2</w:t>
      </w:r>
      <w:r>
        <w:rPr>
          <w:rFonts w:hint="eastAsia" w:cs="宋体"/>
          <w:b/>
          <w:bCs/>
          <w:color w:val="auto"/>
          <w:spacing w:val="0"/>
          <w:kern w:val="0"/>
          <w:position w:val="0"/>
          <w:sz w:val="24"/>
          <w:szCs w:val="24"/>
          <w:highlight w:val="none"/>
          <w:shd w:val="clear" w:color="auto" w:fill="FFFFFF"/>
          <w:lang w:eastAsia="zh-CN"/>
        </w:rPr>
        <w:t>、</w:t>
      </w:r>
      <w:r>
        <w:rPr>
          <w:rFonts w:hint="eastAsia" w:ascii="宋体" w:hAnsi="宋体" w:eastAsia="宋体" w:cs="宋体"/>
          <w:b/>
          <w:bCs/>
          <w:color w:val="auto"/>
          <w:spacing w:val="0"/>
          <w:kern w:val="0"/>
          <w:position w:val="0"/>
          <w:sz w:val="24"/>
          <w:szCs w:val="24"/>
          <w:highlight w:val="none"/>
          <w:shd w:val="clear" w:color="auto" w:fill="FFFFFF"/>
        </w:rPr>
        <w:t>合同价格形式：</w:t>
      </w:r>
      <w:r>
        <w:rPr>
          <w:rFonts w:hint="eastAsia" w:ascii="宋体" w:hAnsi="宋体" w:eastAsia="宋体" w:cs="宋体"/>
          <w:b/>
          <w:bCs/>
          <w:color w:val="auto"/>
          <w:spacing w:val="0"/>
          <w:kern w:val="0"/>
          <w:position w:val="0"/>
          <w:sz w:val="24"/>
          <w:szCs w:val="24"/>
          <w:highlight w:val="none"/>
          <w:u w:val="single"/>
          <w:shd w:val="clear" w:color="auto" w:fill="FFFFFF"/>
        </w:rPr>
        <w:t xml:space="preserve">   固定单价合同      </w:t>
      </w:r>
      <w:r>
        <w:rPr>
          <w:rFonts w:hint="eastAsia" w:ascii="宋体" w:hAnsi="宋体" w:eastAsia="宋体" w:cs="宋体"/>
          <w:b/>
          <w:bCs/>
          <w:color w:val="auto"/>
          <w:spacing w:val="0"/>
          <w:kern w:val="0"/>
          <w:position w:val="0"/>
          <w:sz w:val="24"/>
          <w:szCs w:val="24"/>
          <w:highlight w:val="none"/>
          <w:shd w:val="clear" w:color="auto" w:fill="FFFFFF"/>
        </w:rPr>
        <w:t>。</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eastAsia="宋体" w:cs="宋体"/>
          <w:color w:val="auto"/>
          <w:spacing w:val="0"/>
          <w:kern w:val="0"/>
          <w:position w:val="0"/>
          <w:sz w:val="24"/>
          <w:szCs w:val="24"/>
          <w:highlight w:val="none"/>
          <w:shd w:val="clear" w:color="auto" w:fill="FFFFFF"/>
          <w:lang w:val="en-US" w:eastAsia="zh-CN"/>
        </w:rPr>
        <w:t>3</w:t>
      </w:r>
      <w:r>
        <w:rPr>
          <w:rFonts w:hint="eastAsia" w:cs="宋体"/>
          <w:color w:val="auto"/>
          <w:spacing w:val="0"/>
          <w:kern w:val="0"/>
          <w:position w:val="0"/>
          <w:sz w:val="24"/>
          <w:szCs w:val="24"/>
          <w:highlight w:val="none"/>
          <w:shd w:val="clear" w:color="auto" w:fill="FFFFFF"/>
          <w:lang w:eastAsia="zh-CN"/>
        </w:rPr>
        <w:t>、</w:t>
      </w:r>
      <w:r>
        <w:rPr>
          <w:rFonts w:hint="eastAsia" w:ascii="宋体" w:hAnsi="宋体" w:eastAsia="宋体" w:cs="宋体"/>
          <w:color w:val="auto"/>
          <w:spacing w:val="0"/>
          <w:kern w:val="0"/>
          <w:position w:val="0"/>
          <w:sz w:val="24"/>
          <w:szCs w:val="24"/>
          <w:highlight w:val="none"/>
          <w:shd w:val="clear" w:color="auto" w:fill="FFFFFF"/>
        </w:rPr>
        <w:t>本承包价格包含</w:t>
      </w:r>
      <w:r>
        <w:rPr>
          <w:rFonts w:hint="eastAsia" w:ascii="宋体" w:hAnsi="宋体" w:eastAsia="宋体" w:cs="宋体"/>
          <w:color w:val="auto"/>
          <w:spacing w:val="0"/>
          <w:kern w:val="0"/>
          <w:position w:val="0"/>
          <w:sz w:val="24"/>
          <w:szCs w:val="24"/>
          <w:highlight w:val="none"/>
        </w:rPr>
        <w:t>实施和完成本工程所需的</w:t>
      </w:r>
      <w:r>
        <w:rPr>
          <w:rFonts w:hint="eastAsia" w:ascii="宋体" w:hAnsi="宋体" w:eastAsia="宋体" w:cs="宋体"/>
          <w:color w:val="auto"/>
          <w:spacing w:val="0"/>
          <w:kern w:val="0"/>
          <w:position w:val="0"/>
          <w:sz w:val="24"/>
          <w:szCs w:val="24"/>
          <w:highlight w:val="none"/>
          <w:shd w:val="clear" w:color="auto" w:fill="FFFFFF"/>
        </w:rPr>
        <w:t>人工费、机械费、进退场、垃圾清运、材料上运费、规费等</w:t>
      </w:r>
      <w:r>
        <w:rPr>
          <w:rFonts w:hint="eastAsia" w:ascii="宋体" w:hAnsi="宋体" w:eastAsia="宋体" w:cs="宋体"/>
          <w:color w:val="auto"/>
          <w:spacing w:val="0"/>
          <w:kern w:val="0"/>
          <w:position w:val="0"/>
          <w:sz w:val="24"/>
          <w:szCs w:val="24"/>
          <w:highlight w:val="none"/>
        </w:rPr>
        <w:t>一切费用，以及项目实施中明示或暗示的所有责任、义务和一般风险。</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lang w:val="en-US" w:eastAsia="zh-CN"/>
        </w:rPr>
        <w:t>4</w:t>
      </w:r>
      <w:r>
        <w:rPr>
          <w:rFonts w:hint="eastAsia" w:cs="宋体"/>
          <w:b/>
          <w:bCs/>
          <w:color w:val="auto"/>
          <w:highlight w:val="none"/>
          <w:shd w:val="clear" w:color="auto" w:fill="FFFFFF"/>
        </w:rPr>
        <w:t>、付款方式：</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（1）竣工验收合格后，甲方付款本工程合同总承包价格的90%。</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（2）余款10%每年支付5%，待两年养护期满后结清</w:t>
      </w:r>
      <w:r>
        <w:rPr>
          <w:rFonts w:hint="eastAsia" w:cs="宋体"/>
          <w:b/>
          <w:bCs/>
          <w:color w:val="auto"/>
          <w:spacing w:val="0"/>
          <w:kern w:val="0"/>
          <w:position w:val="0"/>
          <w:sz w:val="24"/>
          <w:szCs w:val="24"/>
          <w:highlight w:val="none"/>
          <w:u w:val="single"/>
          <w:shd w:val="clear" w:color="auto" w:fill="FFFFFF"/>
          <w:lang w:eastAsia="zh-CN"/>
        </w:rPr>
        <w:t>（</w:t>
      </w:r>
      <w:r>
        <w:rPr>
          <w:rFonts w:hint="eastAsia" w:cs="宋体"/>
          <w:b/>
          <w:bCs/>
          <w:color w:val="auto"/>
          <w:spacing w:val="0"/>
          <w:kern w:val="0"/>
          <w:position w:val="0"/>
          <w:sz w:val="24"/>
          <w:szCs w:val="24"/>
          <w:highlight w:val="none"/>
          <w:u w:val="single"/>
          <w:shd w:val="clear" w:color="auto" w:fill="FFFFFF"/>
          <w:lang w:val="en-US" w:eastAsia="zh-CN"/>
        </w:rPr>
        <w:t>无息</w:t>
      </w:r>
      <w:r>
        <w:rPr>
          <w:rFonts w:hint="eastAsia"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（3）乙方应于甲方每笔款项支付前向甲方提供合法足额发票，若乙方延迟提供发票，甲方付款时间顺延。</w:t>
      </w:r>
    </w:p>
    <w:p>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（4）付款使用承兑汇票进行支付。</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shd w:val="clear" w:color="auto" w:fill="FFFFFF"/>
        </w:rPr>
      </w:pPr>
      <w:r>
        <w:rPr>
          <w:rFonts w:hint="eastAsia" w:cs="宋体"/>
          <w:b/>
          <w:bCs/>
          <w:color w:val="auto"/>
          <w:highlight w:val="none"/>
          <w:shd w:val="clear" w:color="auto" w:fill="FFFFFF"/>
        </w:rPr>
        <w:t>第七、关于材料的约定：</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shd w:val="clear" w:color="auto" w:fill="FFFFFF"/>
        </w:rPr>
        <w:t>1、</w:t>
      </w:r>
      <w:r>
        <w:rPr>
          <w:rFonts w:hint="eastAsia" w:ascii="宋体" w:hAnsi="宋体" w:cs="宋体"/>
          <w:color w:val="auto"/>
          <w:kern w:val="0"/>
          <w:sz w:val="24"/>
          <w:highlight w:val="none"/>
        </w:rPr>
        <w:t>乙方采购的材料和工程设备由乙方妥善保管，保管费用由乙方承担。法律规定材料和工程设备使用前必须进行检验或试验的，乙方应按要求进行检验或试验，检验或试验费用由乙方承担，不合格的不得使用。乙方需提供品牌主材的合同、发票等能证明主材品牌的资料</w:t>
      </w:r>
      <w:r>
        <w:rPr>
          <w:rFonts w:hint="eastAsia" w:ascii="宋体" w:hAnsi="宋体" w:cs="宋体"/>
          <w:color w:val="auto"/>
          <w:kern w:val="0"/>
          <w:sz w:val="24"/>
          <w:highlight w:val="none"/>
          <w:lang w:eastAsia="zh-CN"/>
        </w:rPr>
        <w:t>。</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2、甲方发现乙方使用不符合设计或有关标准要求的材料和工程设备时，有权要求乙方进行修复、拆除或重新采购，由此增加的费用和（或）延误的工期，由乙方承担。</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highlight w:val="none"/>
        </w:rPr>
      </w:pPr>
      <w:r>
        <w:rPr>
          <w:rFonts w:hint="eastAsia" w:cs="宋体"/>
          <w:b/>
          <w:bCs/>
          <w:color w:val="auto"/>
          <w:highlight w:val="none"/>
          <w:shd w:val="clear" w:color="auto" w:fill="FFFFFF"/>
        </w:rPr>
        <w:t>第八、关于</w:t>
      </w:r>
      <w:r>
        <w:rPr>
          <w:color w:val="auto"/>
          <w:highlight w:val="none"/>
        </w:rPr>
        <w:fldChar w:fldCharType="begin"/>
      </w:r>
      <w:r>
        <w:rPr>
          <w:color w:val="auto"/>
          <w:highlight w:val="none"/>
        </w:rPr>
        <w:instrText xml:space="preserve"> HYPERLINK "http://www.findlaw.cn/185600/" \t "http://china.findlaw.cn/fangdichan/jianzhugongcheng/wsfb/htfb/_blank" </w:instrText>
      </w:r>
      <w:r>
        <w:rPr>
          <w:color w:val="auto"/>
          <w:highlight w:val="none"/>
        </w:rPr>
        <w:fldChar w:fldCharType="separate"/>
      </w:r>
      <w:r>
        <w:rPr>
          <w:rFonts w:hint="eastAsia" w:cs="宋体"/>
          <w:b/>
          <w:bCs/>
          <w:color w:val="auto"/>
          <w:highlight w:val="none"/>
          <w:shd w:val="clear" w:color="auto" w:fill="FFFFFF"/>
        </w:rPr>
        <w:t>安全生产</w:t>
      </w:r>
      <w:r>
        <w:rPr>
          <w:rFonts w:hint="eastAsia" w:cs="宋体"/>
          <w:b/>
          <w:bCs/>
          <w:color w:val="auto"/>
          <w:highlight w:val="none"/>
          <w:shd w:val="clear" w:color="auto" w:fill="FFFFFF"/>
        </w:rPr>
        <w:fldChar w:fldCharType="end"/>
      </w:r>
      <w:r>
        <w:rPr>
          <w:rFonts w:hint="eastAsia" w:cs="宋体"/>
          <w:b/>
          <w:bCs/>
          <w:color w:val="auto"/>
          <w:highlight w:val="none"/>
          <w:shd w:val="clear" w:color="auto" w:fill="FFFFFF"/>
        </w:rPr>
        <w:t>的约定：</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1、甲乙双方另行签订安全</w:t>
      </w:r>
      <w:r>
        <w:rPr>
          <w:color w:val="auto"/>
          <w:highlight w:val="none"/>
        </w:rPr>
        <w:fldChar w:fldCharType="begin"/>
      </w:r>
      <w:r>
        <w:rPr>
          <w:color w:val="auto"/>
          <w:highlight w:val="none"/>
        </w:rPr>
        <w:instrText xml:space="preserve"> HYPERLINK "http://www.findlaw.cn/130000/" \t "http://china.findlaw.cn/fangdichan/jianzhugongcheng/wsfb/htfb/_blank" </w:instrText>
      </w:r>
      <w:r>
        <w:rPr>
          <w:color w:val="auto"/>
          <w:highlight w:val="none"/>
        </w:rPr>
        <w:fldChar w:fldCharType="separate"/>
      </w:r>
      <w:r>
        <w:rPr>
          <w:rFonts w:hint="eastAsia" w:cs="宋体"/>
          <w:color w:val="auto"/>
          <w:highlight w:val="none"/>
          <w:shd w:val="clear" w:color="auto" w:fill="FFFFFF"/>
        </w:rPr>
        <w:t>协议</w:t>
      </w:r>
      <w:r>
        <w:rPr>
          <w:rFonts w:hint="eastAsia" w:cs="宋体"/>
          <w:color w:val="auto"/>
          <w:highlight w:val="none"/>
          <w:shd w:val="clear" w:color="auto" w:fill="FFFFFF"/>
        </w:rPr>
        <w:fldChar w:fldCharType="end"/>
      </w:r>
      <w:r>
        <w:rPr>
          <w:rFonts w:hint="eastAsia" w:cs="宋体"/>
          <w:color w:val="auto"/>
          <w:highlight w:val="none"/>
          <w:shd w:val="clear" w:color="auto" w:fill="FFFFFF"/>
        </w:rPr>
        <w:t>，作为本合同的附件，与本合同具有同等的法律效力。</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2、乙方须严格遵守甲方的规章制度，以及对文明现场和安全生产的要求，如违章作业或发生安全事故由乙方负责处理并承担所有责任。</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3、乙方须严格遵守安全协议中的条款，严禁在施工现场发生违法乱纪等行为。</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4、所有施工人员必须严格按照安全生产操作规程进行施工，如违反操作规程而发生的安全事故，其一切损失全部由乙方承担。</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第九、关于违约责任的约定：</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1、乙方须自行完成本施工任务，严禁乙方将本项目再次进行分包或转包。</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2、乙方逾期完工，除不可抗力外，每延期一天乙方向甲方赔付违约金</w:t>
      </w:r>
      <w:r>
        <w:rPr>
          <w:rFonts w:hint="eastAsia" w:cs="宋体"/>
          <w:color w:val="auto"/>
          <w:highlight w:val="none"/>
          <w:shd w:val="clear" w:color="auto" w:fill="FFFFFF"/>
          <w:lang w:val="en-US" w:eastAsia="zh-CN"/>
        </w:rPr>
        <w:t>5</w:t>
      </w:r>
      <w:r>
        <w:rPr>
          <w:rFonts w:hint="eastAsia" w:cs="宋体"/>
          <w:color w:val="auto"/>
          <w:highlight w:val="none"/>
          <w:shd w:val="clear" w:color="auto" w:fill="FFFFFF"/>
        </w:rPr>
        <w:t>000元，延期超过10天，甲方有权单方解除合同，并不予结算工程款，乙方对甲方造成损失的，应全部赔偿。</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3、乙方必须给进场施工的工作人员购买人身</w:t>
      </w:r>
      <w:r>
        <w:rPr>
          <w:color w:val="auto"/>
          <w:highlight w:val="none"/>
        </w:rPr>
        <w:fldChar w:fldCharType="begin"/>
      </w:r>
      <w:r>
        <w:rPr>
          <w:color w:val="auto"/>
          <w:highlight w:val="none"/>
        </w:rPr>
        <w:instrText xml:space="preserve"> HYPERLINK "http://www.findlaw.cn/129100/" \t "http://china.findlaw.cn/fangdichan/jianzhugongcheng/wsfb/htfb/_blank" </w:instrText>
      </w:r>
      <w:r>
        <w:rPr>
          <w:color w:val="auto"/>
          <w:highlight w:val="none"/>
        </w:rPr>
        <w:fldChar w:fldCharType="separate"/>
      </w:r>
      <w:r>
        <w:rPr>
          <w:rFonts w:hint="eastAsia" w:cs="宋体"/>
          <w:color w:val="auto"/>
          <w:highlight w:val="none"/>
          <w:shd w:val="clear" w:color="auto" w:fill="FFFFFF"/>
        </w:rPr>
        <w:t>保险</w:t>
      </w:r>
      <w:r>
        <w:rPr>
          <w:rFonts w:hint="eastAsia" w:cs="宋体"/>
          <w:color w:val="auto"/>
          <w:highlight w:val="none"/>
          <w:shd w:val="clear" w:color="auto" w:fill="FFFFFF"/>
        </w:rPr>
        <w:fldChar w:fldCharType="end"/>
      </w:r>
      <w:r>
        <w:rPr>
          <w:rFonts w:hint="eastAsia" w:cs="宋体"/>
          <w:color w:val="auto"/>
          <w:highlight w:val="none"/>
          <w:shd w:val="clear" w:color="auto" w:fill="FFFFFF"/>
        </w:rPr>
        <w:t>，在施工中发生安全生产事故造成人身伤害或财产损失，由乙方承担全部责任。</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第十、其他约定：</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rPr>
        <w:t>1、若合同双方在履行合同过程中产生争议，应协商解决，若协商不成，任何一方可向工程所在地法院提起诉讼。</w:t>
      </w:r>
    </w:p>
    <w:p>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rPr>
        <w:t>2、</w:t>
      </w:r>
      <w:r>
        <w:rPr>
          <w:rFonts w:hint="eastAsia" w:cs="宋体"/>
          <w:color w:val="auto"/>
          <w:highlight w:val="none"/>
          <w:shd w:val="clear" w:color="auto" w:fill="FFFFFF"/>
        </w:rPr>
        <w:t>本合同一式两份，甲乙双方各执一份，自签订之日起生效，履行完毕后即终止。其中未尽事宜，双方友好协商解决。</w:t>
      </w:r>
    </w:p>
    <w:p>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color w:val="auto"/>
          <w:highlight w:val="none"/>
          <w:shd w:val="clear" w:color="auto" w:fill="FFFFFF"/>
        </w:rPr>
      </w:pP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发包人：  （盖章）                    承包方：  （盖章）</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法定代表人或其委托代理人：            法定代表人或其委托代理人：</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（签字）                              （签字）</w:t>
      </w:r>
    </w:p>
    <w:bookmarkEnd w:id="44"/>
    <w:p>
      <w:pPr>
        <w:tabs>
          <w:tab w:val="left" w:pos="4410"/>
        </w:tabs>
        <w:adjustRightInd w:val="0"/>
        <w:snapToGrid w:val="0"/>
        <w:spacing w:line="360" w:lineRule="auto"/>
        <w:rPr>
          <w:rFonts w:hint="eastAsia" w:ascii="宋体" w:hAnsi="宋体" w:cs="宋体"/>
          <w:color w:val="auto"/>
          <w:kern w:val="0"/>
          <w:sz w:val="24"/>
          <w:highlight w:val="none"/>
        </w:rPr>
      </w:pPr>
      <w:bookmarkStart w:id="45" w:name="_Toc522571277"/>
      <w:r>
        <w:rPr>
          <w:rFonts w:hint="eastAsia" w:ascii="宋体" w:hAnsi="宋体" w:cs="宋体"/>
          <w:color w:val="auto"/>
          <w:kern w:val="0"/>
          <w:sz w:val="24"/>
          <w:highlight w:val="none"/>
        </w:rPr>
        <w:t>社会信用代码：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社会信用代码：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地  址：</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地  址： </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邮政编码：</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法定代表人：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法定代表人：</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委托代理人：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委托代理人：</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电  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电  话：</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开户银行：</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u w:val="single"/>
        </w:rPr>
        <w:t xml:space="preserve">开户银行：                        </w:t>
      </w:r>
    </w:p>
    <w:p>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账  号：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账  号：</w:t>
      </w:r>
      <w:r>
        <w:rPr>
          <w:rFonts w:hint="eastAsia" w:ascii="宋体" w:hAnsi="宋体" w:cs="宋体"/>
          <w:color w:val="auto"/>
          <w:kern w:val="0"/>
          <w:sz w:val="24"/>
          <w:highlight w:val="none"/>
          <w:u w:val="single"/>
        </w:rPr>
        <w:t xml:space="preserve">                          </w:t>
      </w:r>
    </w:p>
    <w:p>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t>时  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              时  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bookmarkEnd w:id="45"/>
    <w:p>
      <w:pPr>
        <w:adjustRightInd w:val="0"/>
        <w:snapToGrid w:val="0"/>
        <w:spacing w:line="360" w:lineRule="auto"/>
        <w:jc w:val="left"/>
        <w:rPr>
          <w:rFonts w:hint="eastAsia" w:ascii="宋体" w:hAnsi="宋体" w:cs="宋体"/>
          <w:color w:val="auto"/>
          <w:kern w:val="0"/>
          <w:sz w:val="24"/>
          <w:highlight w:val="none"/>
        </w:rPr>
      </w:pPr>
    </w:p>
    <w:p>
      <w:pPr>
        <w:adjustRightInd w:val="0"/>
        <w:snapToGrid w:val="0"/>
        <w:spacing w:line="360" w:lineRule="auto"/>
        <w:jc w:val="left"/>
        <w:rPr>
          <w:rFonts w:hint="eastAsia" w:ascii="宋体" w:hAnsi="宋体" w:cs="宋体"/>
          <w:color w:val="auto"/>
          <w:kern w:val="0"/>
          <w:sz w:val="24"/>
          <w:highlight w:val="none"/>
        </w:rPr>
      </w:pPr>
    </w:p>
    <w:p>
      <w:pPr>
        <w:pStyle w:val="60"/>
        <w:adjustRightInd w:val="0"/>
        <w:snapToGrid w:val="0"/>
        <w:spacing w:line="360" w:lineRule="auto"/>
        <w:ind w:left="0" w:leftChars="0" w:firstLine="241" w:firstLineChars="100"/>
        <w:rPr>
          <w:rFonts w:hint="eastAsia" w:ascii="宋体" w:hAnsi="宋体" w:cs="宋体"/>
          <w:color w:val="auto"/>
          <w:highlight w:val="none"/>
          <w:lang w:val="zh-CN"/>
        </w:rPr>
      </w:pPr>
      <w:r>
        <w:rPr>
          <w:rFonts w:hint="eastAsia" w:ascii="宋体" w:hAnsi="宋体" w:cs="宋体"/>
          <w:b/>
          <w:color w:val="auto"/>
          <w:sz w:val="24"/>
          <w:highlight w:val="none"/>
        </w:rPr>
        <w:t>采购人保留对合同修改和完善的权利。</w:t>
      </w:r>
    </w:p>
    <w:p>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br w:type="page"/>
      </w:r>
      <w:r>
        <w:rPr>
          <w:rFonts w:hint="eastAsia" w:ascii="宋体" w:hAnsi="宋体" w:cs="宋体"/>
          <w:b/>
          <w:bCs/>
          <w:color w:val="auto"/>
          <w:kern w:val="0"/>
          <w:sz w:val="24"/>
          <w:highlight w:val="none"/>
        </w:rPr>
        <w:t>附件1：</w:t>
      </w:r>
    </w:p>
    <w:p>
      <w:pPr>
        <w:adjustRightInd w:val="0"/>
        <w:snapToGrid w:val="0"/>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工程质量保修书</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发包人（全称）：</w:t>
      </w:r>
      <w:r>
        <w:rPr>
          <w:rFonts w:hint="eastAsia" w:ascii="宋体" w:hAnsi="宋体" w:cs="宋体"/>
          <w:color w:val="auto"/>
          <w:kern w:val="0"/>
          <w:sz w:val="24"/>
          <w:highlight w:val="none"/>
          <w:u w:val="single"/>
        </w:rPr>
        <w:t xml:space="preserve"> </w:t>
      </w:r>
      <w:r>
        <w:rPr>
          <w:rFonts w:hint="eastAsia" w:ascii="宋体" w:hAnsi="宋体" w:cs="宋体"/>
          <w:b/>
          <w:color w:val="auto"/>
          <w:kern w:val="0"/>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承包人（全称）：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发包人和承包人根据《中华人民共和国建筑法》和《建设工程质量管理条例》，经协商一致就</w:t>
      </w:r>
      <w:r>
        <w:rPr>
          <w:rFonts w:hint="eastAsia" w:ascii="宋体" w:hAnsi="宋体" w:cs="宋体"/>
          <w:b/>
          <w:color w:val="auto"/>
          <w:kern w:val="0"/>
          <w:sz w:val="24"/>
          <w:highlight w:val="none"/>
          <w:u w:val="single"/>
        </w:rPr>
        <w:t xml:space="preserve">                            </w:t>
      </w:r>
      <w:r>
        <w:rPr>
          <w:rFonts w:hint="eastAsia" w:ascii="宋体" w:hAnsi="宋体" w:cs="宋体"/>
          <w:color w:val="auto"/>
          <w:kern w:val="0"/>
          <w:sz w:val="24"/>
          <w:highlight w:val="none"/>
        </w:rPr>
        <w:t>（工程全称）签订工程质量保修书。</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一、工程质量保修范围和内容</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承包人在质量保修期内，按照有关法律规定和合同约定，承担工程质量保修责任。</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color w:val="auto"/>
          <w:kern w:val="0"/>
          <w:sz w:val="24"/>
          <w:highlight w:val="none"/>
          <w:u w:val="single"/>
        </w:rPr>
        <w:t>承包人所施工的内容。</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二、质量保修期</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根据《建设工程质量管理条例》及有关规定，工程的质量保修期如下：</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1．地基基础工程和主体结构工程为设计文件规定的工程合理使用年限；</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2．屋面防水工程、有防水要求的卫生间、房间和外墙面的防渗为</w:t>
      </w:r>
      <w:r>
        <w:rPr>
          <w:rFonts w:hint="eastAsia" w:ascii="宋体" w:hAnsi="宋体" w:cs="宋体"/>
          <w:color w:val="auto"/>
          <w:kern w:val="0"/>
          <w:sz w:val="24"/>
          <w:highlight w:val="none"/>
          <w:u w:val="single"/>
        </w:rPr>
        <w:t xml:space="preserve"> </w:t>
      </w:r>
      <w:r>
        <w:rPr>
          <w:rFonts w:hint="eastAsia" w:ascii="宋体" w:hAnsi="宋体" w:cs="宋体"/>
          <w:b/>
          <w:bCs/>
          <w:color w:val="auto"/>
          <w:kern w:val="0"/>
          <w:sz w:val="24"/>
          <w:highlight w:val="none"/>
          <w:u w:val="single"/>
        </w:rPr>
        <w:t xml:space="preserve"> 5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3．装修工程为</w:t>
      </w:r>
      <w:r>
        <w:rPr>
          <w:rFonts w:hint="eastAsia" w:ascii="宋体" w:hAnsi="宋体" w:cs="宋体"/>
          <w:color w:val="auto"/>
          <w:kern w:val="0"/>
          <w:sz w:val="24"/>
          <w:highlight w:val="none"/>
          <w:u w:val="single"/>
        </w:rPr>
        <w:t xml:space="preserve">  </w:t>
      </w:r>
      <w:r>
        <w:rPr>
          <w:rFonts w:hint="eastAsia" w:ascii="宋体" w:hAnsi="宋体" w:cs="宋体"/>
          <w:b/>
          <w:bCs/>
          <w:color w:val="auto"/>
          <w:kern w:val="0"/>
          <w:sz w:val="24"/>
          <w:highlight w:val="none"/>
          <w:u w:val="single"/>
        </w:rPr>
        <w:t xml:space="preserve"> 2</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4．电气管线、给排水管道、设备安装工程为</w:t>
      </w:r>
      <w:r>
        <w:rPr>
          <w:rFonts w:hint="eastAsia" w:ascii="宋体" w:hAnsi="宋体" w:cs="宋体"/>
          <w:color w:val="auto"/>
          <w:kern w:val="0"/>
          <w:sz w:val="24"/>
          <w:highlight w:val="none"/>
          <w:u w:val="single"/>
        </w:rPr>
        <w:t xml:space="preserve"> </w:t>
      </w:r>
      <w:r>
        <w:rPr>
          <w:rFonts w:hint="eastAsia" w:ascii="宋体" w:hAnsi="宋体" w:cs="宋体"/>
          <w:b/>
          <w:bCs/>
          <w:color w:val="auto"/>
          <w:kern w:val="0"/>
          <w:sz w:val="24"/>
          <w:highlight w:val="none"/>
          <w:u w:val="single"/>
        </w:rPr>
        <w:t xml:space="preserve"> 2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5．供热与供冷系统为</w:t>
      </w:r>
      <w:r>
        <w:rPr>
          <w:rFonts w:hint="eastAsia" w:ascii="宋体" w:hAnsi="宋体" w:cs="宋体"/>
          <w:color w:val="auto"/>
          <w:kern w:val="0"/>
          <w:sz w:val="24"/>
          <w:highlight w:val="none"/>
          <w:u w:val="single"/>
        </w:rPr>
        <w:t xml:space="preserve">  </w:t>
      </w:r>
      <w:r>
        <w:rPr>
          <w:rFonts w:hint="eastAsia" w:ascii="宋体" w:hAnsi="宋体" w:cs="宋体"/>
          <w:i/>
          <w:color w:val="auto"/>
          <w:kern w:val="0"/>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个采暖期、供冷期；</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6．住宅小区内的给排水设施、道路等配套工程为</w:t>
      </w:r>
      <w:r>
        <w:rPr>
          <w:rFonts w:hint="eastAsia" w:ascii="宋体" w:hAnsi="宋体" w:cs="宋体"/>
          <w:color w:val="auto"/>
          <w:kern w:val="0"/>
          <w:sz w:val="24"/>
          <w:highlight w:val="none"/>
          <w:u w:val="single"/>
        </w:rPr>
        <w:t xml:space="preserve">    </w:t>
      </w:r>
      <w:r>
        <w:rPr>
          <w:rFonts w:hint="eastAsia" w:ascii="宋体" w:hAnsi="宋体" w:cs="宋体"/>
          <w:i/>
          <w:color w:val="auto"/>
          <w:kern w:val="0"/>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7．其他项目保修期限约定如下：</w:t>
      </w:r>
      <w:r>
        <w:rPr>
          <w:rFonts w:hint="eastAsia" w:ascii="宋体" w:hAnsi="宋体" w:cs="宋体"/>
          <w:b/>
          <w:color w:val="auto"/>
          <w:kern w:val="0"/>
          <w:sz w:val="24"/>
          <w:highlight w:val="none"/>
          <w:u w:val="single"/>
        </w:rPr>
        <w:t>2年。</w:t>
      </w:r>
    </w:p>
    <w:p>
      <w:pPr>
        <w:adjustRightInd w:val="0"/>
        <w:snapToGrid w:val="0"/>
        <w:spacing w:line="360" w:lineRule="auto"/>
        <w:ind w:firstLine="422" w:firstLineChars="200"/>
        <w:jc w:val="left"/>
        <w:rPr>
          <w:rFonts w:hint="eastAsia" w:ascii="宋体" w:hAnsi="宋体" w:cs="宋体"/>
          <w:color w:val="auto"/>
          <w:kern w:val="0"/>
          <w:sz w:val="24"/>
          <w:highlight w:val="none"/>
        </w:rPr>
      </w:pPr>
      <w:r>
        <w:rPr>
          <w:rFonts w:hint="eastAsia" w:ascii="宋体" w:hAnsi="宋体" w:cs="宋体"/>
          <w:b/>
          <w:bCs/>
          <w:color w:val="auto"/>
          <w:szCs w:val="24"/>
          <w:highlight w:val="none"/>
          <w:u w:val="single"/>
          <w:shd w:val="clear" w:color="auto" w:fill="FFFFFF"/>
        </w:rPr>
        <w:t>本工程养护期为两年，自竣工验收之日起计</w:t>
      </w:r>
      <w:r>
        <w:rPr>
          <w:rFonts w:hint="eastAsia" w:ascii="宋体" w:hAnsi="宋体" w:cs="宋体"/>
          <w:color w:val="auto"/>
          <w:kern w:val="0"/>
          <w:sz w:val="24"/>
          <w:highlight w:val="none"/>
        </w:rPr>
        <w:t>。</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三、缺陷责任期</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工程缺陷责任期为</w:t>
      </w:r>
      <w:r>
        <w:rPr>
          <w:rFonts w:hint="eastAsia" w:ascii="宋体" w:hAnsi="宋体" w:cs="宋体"/>
          <w:color w:val="auto"/>
          <w:kern w:val="0"/>
          <w:sz w:val="24"/>
          <w:highlight w:val="none"/>
          <w:u w:val="single"/>
        </w:rPr>
        <w:t>24</w:t>
      </w:r>
      <w:r>
        <w:rPr>
          <w:rFonts w:hint="eastAsia" w:ascii="宋体" w:hAnsi="宋体" w:cs="宋体"/>
          <w:color w:val="auto"/>
          <w:kern w:val="0"/>
          <w:sz w:val="24"/>
          <w:highlight w:val="none"/>
        </w:rPr>
        <w:t>个月，缺陷责任期自交付业主使用之日起计算。</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缺陷责任期终止后，检查无质量问题后退还。</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四、质量保修责任</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1．属于保修范围、内容的项目，承包人应当在接到保修通知之日起1小时内派人保修。承包人不在约定期限内派人保修的，发包人可以委托他人修理，费用按实际发生费用的两倍及以上从质量保修金中扣除。</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2．发生紧急事故需抢修的，承包人在接到事故通知后，应当立即到达事故现场抢修。</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4．质量保修完成后，由发包人组织验收。</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五、保修费用</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保修费用由造成质量缺陷的责任方承担。</w:t>
      </w:r>
      <w:r>
        <w:rPr>
          <w:rFonts w:hint="eastAsia" w:ascii="宋体" w:hAnsi="宋体" w:cs="宋体"/>
          <w:b/>
          <w:bCs/>
          <w:color w:val="auto"/>
          <w:kern w:val="0"/>
          <w:sz w:val="24"/>
          <w:highlight w:val="none"/>
        </w:rPr>
        <w:t>工程质量保修金为合同总承包价格的</w:t>
      </w:r>
      <w:r>
        <w:rPr>
          <w:rFonts w:hint="eastAsia" w:ascii="宋体" w:hAnsi="宋体" w:cs="宋体"/>
          <w:b/>
          <w:bCs/>
          <w:color w:val="auto"/>
          <w:kern w:val="0"/>
          <w:sz w:val="24"/>
          <w:highlight w:val="none"/>
          <w:lang w:val="en-US" w:eastAsia="zh-CN"/>
        </w:rPr>
        <w:t>10</w:t>
      </w:r>
      <w:r>
        <w:rPr>
          <w:rFonts w:hint="eastAsia" w:ascii="宋体" w:hAnsi="宋体" w:cs="宋体"/>
          <w:b/>
          <w:bCs/>
          <w:color w:val="auto"/>
          <w:kern w:val="0"/>
          <w:sz w:val="24"/>
          <w:highlight w:val="none"/>
        </w:rPr>
        <w:t>%</w:t>
      </w:r>
      <w:r>
        <w:rPr>
          <w:rFonts w:hint="eastAsia" w:ascii="宋体" w:hAnsi="宋体" w:cs="宋体"/>
          <w:color w:val="auto"/>
          <w:kern w:val="0"/>
          <w:sz w:val="24"/>
          <w:highlight w:val="none"/>
        </w:rPr>
        <w:t>。</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bCs/>
          <w:color w:val="auto"/>
          <w:kern w:val="0"/>
          <w:sz w:val="24"/>
          <w:highlight w:val="none"/>
        </w:rPr>
        <w:t>六、</w:t>
      </w:r>
      <w:r>
        <w:rPr>
          <w:rFonts w:hint="eastAsia" w:ascii="宋体" w:hAnsi="宋体" w:cs="宋体"/>
          <w:color w:val="auto"/>
          <w:kern w:val="0"/>
          <w:sz w:val="24"/>
          <w:highlight w:val="none"/>
        </w:rPr>
        <w:t>双方约定的其他工程质量保修事项：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工程质量保修书由发包人、承包人在工程竣工验收前共同签署，作为施工合同附件，其有效期限至保修期满。</w:t>
      </w:r>
    </w:p>
    <w:p>
      <w:pPr>
        <w:adjustRightInd w:val="0"/>
        <w:snapToGrid w:val="0"/>
        <w:spacing w:line="360" w:lineRule="auto"/>
        <w:ind w:firstLine="420"/>
        <w:rPr>
          <w:rFonts w:hint="eastAsia" w:ascii="宋体" w:hAnsi="宋体" w:cs="宋体"/>
          <w:color w:val="auto"/>
          <w:kern w:val="0"/>
          <w:sz w:val="24"/>
          <w:highlight w:val="none"/>
        </w:rPr>
      </w:pP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发包人(公章)：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承包人(公章)：</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地  址：</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地  址：</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法定代表人(签字)：</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委托代理人(签字)：</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委托代理人(签字)：</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电  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电  话：</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传  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传  真：</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开户银行：</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开户银行：</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账  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账  号：</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邮政编码：</w:t>
      </w:r>
      <w:r>
        <w:rPr>
          <w:rFonts w:hint="eastAsia" w:ascii="宋体" w:hAnsi="宋体" w:cs="宋体"/>
          <w:color w:val="auto"/>
          <w:kern w:val="0"/>
          <w:sz w:val="24"/>
          <w:highlight w:val="none"/>
          <w:u w:val="single"/>
        </w:rPr>
        <w:t xml:space="preserve">                     </w:t>
      </w:r>
    </w:p>
    <w:p>
      <w:pPr>
        <w:adjustRightInd w:val="0"/>
        <w:snapToGrid w:val="0"/>
        <w:spacing w:line="360" w:lineRule="auto"/>
        <w:rPr>
          <w:rFonts w:hint="eastAsia" w:ascii="宋体" w:hAnsi="宋体" w:cs="宋体"/>
          <w:b/>
          <w:color w:val="auto"/>
          <w:kern w:val="0"/>
          <w:szCs w:val="21"/>
          <w:highlight w:val="none"/>
        </w:rPr>
      </w:pPr>
    </w:p>
    <w:p>
      <w:pPr>
        <w:adjustRightInd w:val="0"/>
        <w:snapToGrid w:val="0"/>
        <w:spacing w:line="360" w:lineRule="auto"/>
        <w:rPr>
          <w:rFonts w:hint="eastAsia" w:ascii="宋体" w:hAnsi="宋体" w:cs="宋体"/>
          <w:b/>
          <w:color w:val="auto"/>
          <w:kern w:val="0"/>
          <w:szCs w:val="21"/>
          <w:highlight w:val="none"/>
        </w:rPr>
      </w:pPr>
    </w:p>
    <w:p>
      <w:pPr>
        <w:adjustRightInd w:val="0"/>
        <w:snapToGrid w:val="0"/>
        <w:spacing w:line="360" w:lineRule="auto"/>
        <w:rPr>
          <w:rFonts w:hint="eastAsia" w:ascii="宋体" w:hAnsi="宋体" w:cs="宋体"/>
          <w:color w:val="auto"/>
          <w:kern w:val="0"/>
          <w:szCs w:val="21"/>
          <w:highlight w:val="none"/>
        </w:rPr>
        <w:sectPr>
          <w:footerReference r:id="rId11" w:type="default"/>
          <w:footerReference r:id="rId12" w:type="even"/>
          <w:pgSz w:w="11907" w:h="16840"/>
          <w:pgMar w:top="1497" w:right="1519" w:bottom="1497" w:left="1519" w:header="964" w:footer="907" w:gutter="0"/>
          <w:cols w:space="720" w:num="1"/>
        </w:sectPr>
      </w:pPr>
    </w:p>
    <w:p>
      <w:pPr>
        <w:pStyle w:val="3"/>
        <w:adjustRightInd w:val="0"/>
        <w:snapToGrid w:val="0"/>
        <w:rPr>
          <w:rFonts w:hint="eastAsia" w:ascii="宋体" w:hAnsi="宋体" w:cs="宋体"/>
          <w:color w:val="auto"/>
          <w:kern w:val="0"/>
          <w:highlight w:val="none"/>
        </w:rPr>
      </w:pPr>
      <w:bookmarkStart w:id="46" w:name="_Toc48207462"/>
      <w:bookmarkStart w:id="47" w:name="_Toc520971134"/>
      <w:r>
        <w:rPr>
          <w:rFonts w:hint="eastAsia" w:ascii="宋体" w:hAnsi="宋体" w:cs="宋体"/>
          <w:color w:val="auto"/>
          <w:kern w:val="0"/>
          <w:highlight w:val="none"/>
        </w:rPr>
        <w:t>第四章 工程建设标准</w:t>
      </w:r>
      <w:bookmarkEnd w:id="46"/>
      <w:bookmarkEnd w:id="47"/>
    </w:p>
    <w:p>
      <w:pPr>
        <w:pStyle w:val="159"/>
        <w:adjustRightInd w:val="0"/>
        <w:snapToGrid w:val="0"/>
        <w:spacing w:line="360" w:lineRule="auto"/>
        <w:ind w:firstLine="482"/>
        <w:jc w:val="left"/>
        <w:rPr>
          <w:rFonts w:hint="eastAsia" w:ascii="宋体" w:hAnsi="宋体" w:cs="宋体"/>
          <w:b/>
          <w:bCs/>
          <w:color w:val="auto"/>
          <w:kern w:val="0"/>
          <w:sz w:val="24"/>
          <w:highlight w:val="none"/>
        </w:rPr>
      </w:pPr>
      <w:bookmarkStart w:id="48" w:name="_Toc520971135"/>
      <w:bookmarkStart w:id="49" w:name="_Toc48207463"/>
      <w:r>
        <w:rPr>
          <w:rFonts w:hint="eastAsia" w:ascii="宋体" w:hAnsi="宋体" w:cs="宋体"/>
          <w:b/>
          <w:bCs/>
          <w:color w:val="auto"/>
          <w:kern w:val="0"/>
          <w:sz w:val="24"/>
          <w:highlight w:val="none"/>
        </w:rPr>
        <w:t>一、工程概况：</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本工程为</w:t>
      </w:r>
      <w:r>
        <w:rPr>
          <w:rFonts w:hint="eastAsia" w:ascii="宋体" w:hAnsi="宋体" w:cs="宋体"/>
          <w:color w:val="auto"/>
          <w:kern w:val="0"/>
          <w:sz w:val="24"/>
          <w:highlight w:val="none"/>
          <w:lang w:eastAsia="zh-CN"/>
        </w:rPr>
        <w:t>二棉厂区绿化工程</w:t>
      </w:r>
      <w:r>
        <w:rPr>
          <w:rFonts w:hint="eastAsia" w:ascii="宋体" w:hAnsi="宋体" w:cs="宋体"/>
          <w:color w:val="auto"/>
          <w:kern w:val="0"/>
          <w:sz w:val="24"/>
          <w:highlight w:val="none"/>
        </w:rPr>
        <w:t>施工，施工内容具体详见工程量清单及</w:t>
      </w:r>
      <w:r>
        <w:rPr>
          <w:rFonts w:hint="eastAsia" w:ascii="宋体" w:hAnsi="宋体" w:cs="宋体"/>
          <w:color w:val="auto"/>
          <w:kern w:val="0"/>
          <w:sz w:val="24"/>
          <w:highlight w:val="none"/>
          <w:lang w:val="en-US" w:eastAsia="zh-CN"/>
        </w:rPr>
        <w:t>附件</w:t>
      </w:r>
      <w:r>
        <w:rPr>
          <w:rFonts w:hint="eastAsia" w:ascii="宋体" w:hAnsi="宋体" w:cs="宋体"/>
          <w:color w:val="auto"/>
          <w:kern w:val="0"/>
          <w:sz w:val="24"/>
          <w:highlight w:val="none"/>
        </w:rPr>
        <w:t>。</w:t>
      </w:r>
    </w:p>
    <w:p>
      <w:pPr>
        <w:pStyle w:val="159"/>
        <w:adjustRightInd w:val="0"/>
        <w:snapToGrid w:val="0"/>
        <w:spacing w:line="360" w:lineRule="auto"/>
        <w:ind w:firstLine="482"/>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二、工程招标控制价编制依据：</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1、本工程施工图及其工程量清单；</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2、《建设工程工程量清单计价规范》（GB50500-2013）；</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3、《市政工程工程量计算规范》（GB50857-2013）、《园林绿化工程工程量计算规范》（GB50858-2013）；</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4、《江苏省市政工程计价定额》（2014年）、《江苏省仿古建筑与园林工程计价表》（2007版）；</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5、《江苏省建设工程费用定额》（2014年）；</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6、人工工资根据（苏建函价〔2025〕66 号）；</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省住房和城乡建设厅关于建筑业实施营改增后江苏省建设工程计价依据调整的通知》(苏建价[2016]154号)、《省住房城乡建设厅关于建筑业增值税计价政策调整的通知》苏建价【2018】298号文、《省住房城乡建设厅关于调整建设工程计价增值税税率的通知》苏建函价〔2019〕178号；征税方法采用一般计税法；</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8、材料价格参照《南通建设工程造价信息》2025年第6期中的材料信息价，若信息价中无材料信息价的材料的价格，则按市场价执行；</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9、省市现行各类造价文件、相关规范、标准图集及技术规范。</w:t>
      </w:r>
    </w:p>
    <w:p>
      <w:pPr>
        <w:adjustRightInd w:val="0"/>
        <w:snapToGrid w:val="0"/>
        <w:spacing w:line="360" w:lineRule="auto"/>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三、本工程对施工工艺的特殊要求</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1、施工期间要注意周边环境，尽量避免或减少对周围居民生活的影响。</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2、冬、雨季施工要采取相应的保证措施。</w:t>
      </w:r>
    </w:p>
    <w:p>
      <w:pPr>
        <w:adjustRightInd w:val="0"/>
        <w:snapToGrid w:val="0"/>
        <w:spacing w:line="360" w:lineRule="auto"/>
        <w:ind w:firstLine="480" w:firstLineChars="200"/>
        <w:outlineLvl w:val="1"/>
        <w:rPr>
          <w:rFonts w:ascii="宋体" w:hAnsi="宋体" w:cs="宋体"/>
          <w:b/>
          <w:color w:val="auto"/>
          <w:sz w:val="24"/>
          <w:szCs w:val="24"/>
          <w:highlight w:val="none"/>
        </w:rPr>
      </w:pPr>
      <w:r>
        <w:rPr>
          <w:rFonts w:hint="eastAsia" w:ascii="宋体" w:hAnsi="宋体" w:cs="宋体"/>
          <w:color w:val="auto"/>
          <w:kern w:val="0"/>
          <w:sz w:val="24"/>
          <w:highlight w:val="none"/>
        </w:rPr>
        <w:t>3、工程的主要部位和特殊要求由建设、设计、监理三方讨论后以书面形式通知施工单位实施。</w:t>
      </w:r>
    </w:p>
    <w:p>
      <w:pPr>
        <w:adjustRightInd w:val="0"/>
        <w:snapToGrid w:val="0"/>
        <w:spacing w:line="360" w:lineRule="auto"/>
        <w:ind w:firstLine="482" w:firstLineChars="200"/>
        <w:outlineLvl w:val="1"/>
        <w:rPr>
          <w:rFonts w:ascii="宋体" w:hAnsi="宋体" w:cs="宋体"/>
          <w:b/>
          <w:bCs/>
          <w:color w:val="auto"/>
          <w:sz w:val="24"/>
          <w:szCs w:val="21"/>
          <w:highlight w:val="none"/>
        </w:rPr>
      </w:pPr>
      <w:r>
        <w:rPr>
          <w:rFonts w:hint="eastAsia" w:ascii="宋体" w:hAnsi="宋体" w:cs="宋体"/>
          <w:b/>
          <w:bCs/>
          <w:color w:val="auto"/>
          <w:sz w:val="24"/>
          <w:szCs w:val="21"/>
          <w:highlight w:val="none"/>
        </w:rPr>
        <w:t>四、</w:t>
      </w:r>
      <w:r>
        <w:rPr>
          <w:rFonts w:hint="eastAsia" w:ascii="宋体" w:hAnsi="宋体" w:cs="宋体"/>
          <w:b/>
          <w:bCs/>
          <w:color w:val="auto"/>
          <w:sz w:val="24"/>
          <w:szCs w:val="21"/>
          <w:highlight w:val="none"/>
          <w:lang w:val="en-US" w:eastAsia="zh-CN"/>
        </w:rPr>
        <w:t>其他</w:t>
      </w:r>
      <w:r>
        <w:rPr>
          <w:rFonts w:hint="eastAsia" w:ascii="宋体" w:hAnsi="宋体" w:cs="宋体"/>
          <w:b/>
          <w:bCs/>
          <w:color w:val="auto"/>
          <w:sz w:val="24"/>
          <w:szCs w:val="21"/>
          <w:highlight w:val="none"/>
        </w:rPr>
        <w:t>要求</w:t>
      </w:r>
    </w:p>
    <w:p>
      <w:pPr>
        <w:adjustRightInd w:val="0"/>
        <w:snapToGrid w:val="0"/>
        <w:spacing w:line="360" w:lineRule="auto"/>
        <w:ind w:firstLine="482" w:firstLineChars="200"/>
        <w:outlineLvl w:val="2"/>
        <w:rPr>
          <w:rFonts w:ascii="宋体" w:hAnsi="宋体" w:cs="宋体"/>
          <w:b/>
          <w:bCs/>
          <w:color w:val="auto"/>
          <w:sz w:val="24"/>
          <w:szCs w:val="21"/>
          <w:highlight w:val="none"/>
        </w:rPr>
      </w:pPr>
      <w:r>
        <w:rPr>
          <w:rFonts w:hint="eastAsia" w:ascii="宋体" w:hAnsi="宋体" w:cs="宋体"/>
          <w:b/>
          <w:bCs/>
          <w:color w:val="auto"/>
          <w:sz w:val="24"/>
          <w:szCs w:val="21"/>
          <w:highlight w:val="none"/>
        </w:rPr>
        <w:t>1、质量要求：</w:t>
      </w:r>
      <w:r>
        <w:rPr>
          <w:rFonts w:hint="eastAsia" w:ascii="宋体" w:hAnsi="宋体" w:cs="宋体"/>
          <w:color w:val="auto"/>
          <w:sz w:val="24"/>
          <w:szCs w:val="21"/>
          <w:highlight w:val="none"/>
        </w:rPr>
        <w:t>符合现行国家、行业及地方工程施工质量验收标准以及相关专业验收规范的合格标准。</w:t>
      </w:r>
    </w:p>
    <w:p>
      <w:pPr>
        <w:adjustRightInd w:val="0"/>
        <w:snapToGrid w:val="0"/>
        <w:spacing w:line="360" w:lineRule="auto"/>
        <w:ind w:firstLine="482" w:firstLineChars="200"/>
        <w:rPr>
          <w:rFonts w:ascii="宋体" w:hAnsi="宋体" w:cs="宋体"/>
          <w:bCs/>
          <w:color w:val="auto"/>
          <w:sz w:val="24"/>
          <w:szCs w:val="21"/>
          <w:highlight w:val="none"/>
        </w:rPr>
      </w:pPr>
      <w:r>
        <w:rPr>
          <w:rFonts w:hint="eastAsia" w:ascii="宋体" w:hAnsi="宋体" w:cs="宋体"/>
          <w:b/>
          <w:bCs/>
          <w:color w:val="auto"/>
          <w:sz w:val="24"/>
          <w:szCs w:val="21"/>
          <w:highlight w:val="none"/>
          <w:lang w:val="en-US" w:eastAsia="zh-CN"/>
        </w:rPr>
        <w:t>2</w:t>
      </w:r>
      <w:r>
        <w:rPr>
          <w:rFonts w:hint="eastAsia" w:ascii="宋体" w:hAnsi="宋体" w:cs="宋体"/>
          <w:b/>
          <w:bCs/>
          <w:color w:val="auto"/>
          <w:sz w:val="24"/>
          <w:szCs w:val="21"/>
          <w:highlight w:val="none"/>
        </w:rPr>
        <w:t>、养护期：</w:t>
      </w:r>
      <w:r>
        <w:rPr>
          <w:rFonts w:hint="eastAsia" w:ascii="宋体" w:hAnsi="宋体" w:cs="宋体"/>
          <w:bCs/>
          <w:color w:val="auto"/>
          <w:sz w:val="24"/>
          <w:szCs w:val="21"/>
          <w:highlight w:val="none"/>
          <w:u w:val="single"/>
        </w:rPr>
        <w:t>两年（从竣工验收合格之日起计算）。</w:t>
      </w:r>
    </w:p>
    <w:p>
      <w:pPr>
        <w:adjustRightInd w:val="0"/>
        <w:snapToGrid w:val="0"/>
        <w:spacing w:line="360" w:lineRule="auto"/>
        <w:ind w:firstLine="482" w:firstLineChars="200"/>
        <w:rPr>
          <w:rFonts w:ascii="宋体" w:hAnsi="宋体" w:cs="宋体"/>
          <w:bCs/>
          <w:color w:val="auto"/>
          <w:sz w:val="24"/>
          <w:szCs w:val="21"/>
          <w:highlight w:val="none"/>
        </w:rPr>
      </w:pPr>
      <w:r>
        <w:rPr>
          <w:rFonts w:hint="eastAsia" w:ascii="宋体" w:hAnsi="宋体" w:cs="宋体"/>
          <w:b/>
          <w:color w:val="auto"/>
          <w:sz w:val="24"/>
          <w:szCs w:val="21"/>
          <w:highlight w:val="none"/>
          <w:lang w:val="en-US" w:eastAsia="zh-CN"/>
        </w:rPr>
        <w:t>3</w:t>
      </w:r>
      <w:r>
        <w:rPr>
          <w:rFonts w:hint="eastAsia" w:ascii="宋体" w:hAnsi="宋体" w:cs="宋体"/>
          <w:b/>
          <w:color w:val="auto"/>
          <w:sz w:val="24"/>
          <w:szCs w:val="21"/>
          <w:highlight w:val="none"/>
        </w:rPr>
        <w:t>、养护等级</w:t>
      </w:r>
      <w:r>
        <w:rPr>
          <w:rFonts w:hint="eastAsia" w:ascii="宋体" w:hAnsi="宋体" w:cs="宋体"/>
          <w:bCs/>
          <w:color w:val="auto"/>
          <w:sz w:val="24"/>
          <w:szCs w:val="21"/>
          <w:highlight w:val="none"/>
        </w:rPr>
        <w:t>：</w:t>
      </w:r>
      <w:r>
        <w:rPr>
          <w:rFonts w:hint="eastAsia" w:ascii="宋体" w:hAnsi="宋体" w:cs="宋体"/>
          <w:bCs/>
          <w:color w:val="auto"/>
          <w:sz w:val="24"/>
          <w:szCs w:val="21"/>
          <w:highlight w:val="none"/>
          <w:u w:val="single"/>
        </w:rPr>
        <w:t>养护等级</w:t>
      </w:r>
      <w:r>
        <w:rPr>
          <w:rFonts w:hint="eastAsia" w:ascii="宋体" w:hAnsi="宋体" w:cs="宋体"/>
          <w:bCs/>
          <w:color w:val="auto"/>
          <w:sz w:val="24"/>
          <w:szCs w:val="21"/>
          <w:highlight w:val="none"/>
          <w:u w:val="single"/>
          <w:lang w:eastAsia="zh-CN"/>
        </w:rPr>
        <w:t>三</w:t>
      </w:r>
      <w:r>
        <w:rPr>
          <w:rFonts w:hint="eastAsia" w:ascii="宋体" w:hAnsi="宋体" w:cs="宋体"/>
          <w:bCs/>
          <w:color w:val="auto"/>
          <w:sz w:val="24"/>
          <w:szCs w:val="21"/>
          <w:highlight w:val="none"/>
          <w:u w:val="single"/>
        </w:rPr>
        <w:t>级。本项目开工之日起至养护期结束，本项目整体养护由</w:t>
      </w:r>
      <w:r>
        <w:rPr>
          <w:rFonts w:hint="eastAsia" w:ascii="宋体" w:hAnsi="宋体" w:cs="宋体"/>
          <w:bCs/>
          <w:color w:val="auto"/>
          <w:sz w:val="24"/>
          <w:szCs w:val="21"/>
          <w:highlight w:val="none"/>
          <w:u w:val="single"/>
          <w:lang w:val="en-US" w:eastAsia="zh-CN"/>
        </w:rPr>
        <w:t>中标</w:t>
      </w:r>
      <w:r>
        <w:rPr>
          <w:rFonts w:hint="eastAsia" w:ascii="宋体" w:hAnsi="宋体" w:cs="宋体"/>
          <w:bCs/>
          <w:color w:val="auto"/>
          <w:sz w:val="24"/>
          <w:szCs w:val="21"/>
          <w:highlight w:val="none"/>
          <w:u w:val="single"/>
        </w:rPr>
        <w:t>供应商负责，费用含在</w:t>
      </w:r>
      <w:r>
        <w:rPr>
          <w:rFonts w:hint="eastAsia" w:ascii="宋体" w:hAnsi="宋体" w:cs="宋体"/>
          <w:bCs/>
          <w:color w:val="auto"/>
          <w:sz w:val="24"/>
          <w:szCs w:val="21"/>
          <w:highlight w:val="none"/>
          <w:u w:val="single"/>
          <w:lang w:val="en-US" w:eastAsia="zh-CN"/>
        </w:rPr>
        <w:t>投标</w:t>
      </w:r>
      <w:r>
        <w:rPr>
          <w:rFonts w:hint="eastAsia" w:ascii="宋体" w:hAnsi="宋体" w:cs="宋体"/>
          <w:bCs/>
          <w:color w:val="auto"/>
          <w:sz w:val="24"/>
          <w:szCs w:val="21"/>
          <w:highlight w:val="none"/>
          <w:u w:val="single"/>
        </w:rPr>
        <w:t>报价中。</w:t>
      </w:r>
    </w:p>
    <w:p>
      <w:pPr>
        <w:adjustRightInd w:val="0"/>
        <w:snapToGrid w:val="0"/>
        <w:spacing w:line="360" w:lineRule="auto"/>
        <w:ind w:firstLine="480" w:firstLineChars="200"/>
        <w:rPr>
          <w:rFonts w:ascii="宋体" w:hAnsi="宋体" w:cs="宋体"/>
          <w:bCs/>
          <w:color w:val="auto"/>
          <w:sz w:val="24"/>
          <w:szCs w:val="21"/>
          <w:highlight w:val="none"/>
        </w:rPr>
      </w:pPr>
      <w:r>
        <w:rPr>
          <w:rFonts w:hint="eastAsia" w:ascii="宋体" w:hAnsi="宋体" w:cs="宋体"/>
          <w:bCs/>
          <w:color w:val="auto"/>
          <w:sz w:val="24"/>
          <w:szCs w:val="21"/>
          <w:highlight w:val="none"/>
          <w:lang w:val="en-US" w:eastAsia="zh-CN"/>
        </w:rPr>
        <w:t>4</w:t>
      </w:r>
      <w:r>
        <w:rPr>
          <w:rFonts w:hint="eastAsia" w:ascii="宋体" w:hAnsi="宋体" w:cs="宋体"/>
          <w:bCs/>
          <w:color w:val="auto"/>
          <w:sz w:val="24"/>
          <w:szCs w:val="21"/>
          <w:highlight w:val="none"/>
        </w:rPr>
        <w:t>、项目实施过程中不得随意更换项目经理和项目负责人，如需更换的，经采购人允许，可更换具备同等学历和资质的人员。</w:t>
      </w:r>
    </w:p>
    <w:p>
      <w:pPr>
        <w:autoSpaceDE w:val="0"/>
        <w:autoSpaceDN w:val="0"/>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lang w:val="en-US" w:eastAsia="zh-CN"/>
        </w:rPr>
        <w:t>5</w:t>
      </w:r>
      <w:r>
        <w:rPr>
          <w:rFonts w:hint="eastAsia" w:ascii="宋体" w:hAnsi="宋体" w:cs="宋体"/>
          <w:bCs/>
          <w:color w:val="auto"/>
          <w:sz w:val="24"/>
          <w:szCs w:val="21"/>
          <w:highlight w:val="none"/>
        </w:rPr>
        <w:t>、验收要求：采购单位按合同约定积极配合供应商履约，按合同约定及时组织相关人员参与验收，并出具验收报告，验收合格的作为支付货款的依据。</w:t>
      </w:r>
    </w:p>
    <w:p>
      <w:pPr>
        <w:pStyle w:val="2"/>
        <w:rPr>
          <w:color w:val="auto"/>
          <w:highlight w:val="none"/>
        </w:rPr>
      </w:pPr>
    </w:p>
    <w:p>
      <w:pPr>
        <w:pStyle w:val="3"/>
        <w:adjustRightInd w:val="0"/>
        <w:snapToGrid w:val="0"/>
        <w:rPr>
          <w:rFonts w:hint="eastAsia" w:ascii="宋体" w:hAnsi="宋体" w:eastAsia="宋体" w:cs="宋体"/>
          <w:color w:val="auto"/>
          <w:kern w:val="0"/>
          <w:highlight w:val="none"/>
        </w:rPr>
      </w:pPr>
      <w:r>
        <w:rPr>
          <w:rFonts w:hint="eastAsia" w:ascii="宋体" w:hAnsi="宋体" w:cs="宋体"/>
          <w:color w:val="auto"/>
          <w:kern w:val="0"/>
          <w:sz w:val="24"/>
          <w:highlight w:val="none"/>
        </w:rPr>
        <w:br w:type="page"/>
      </w:r>
      <w:r>
        <w:rPr>
          <w:rFonts w:hint="eastAsia" w:ascii="宋体" w:hAnsi="宋体" w:eastAsia="宋体" w:cs="宋体"/>
          <w:color w:val="auto"/>
          <w:kern w:val="0"/>
          <w:highlight w:val="none"/>
        </w:rPr>
        <w:t>第五章 技术资料及附件</w:t>
      </w:r>
      <w:bookmarkEnd w:id="48"/>
      <w:bookmarkEnd w:id="49"/>
    </w:p>
    <w:p>
      <w:pPr>
        <w:adjustRightInd w:val="0"/>
        <w:snapToGrid w:val="0"/>
        <w:spacing w:line="360" w:lineRule="auto"/>
        <w:ind w:firstLine="480" w:firstLineChars="200"/>
        <w:rPr>
          <w:rFonts w:ascii="宋体" w:hAnsi="宋体" w:cs="宋体"/>
          <w:color w:val="auto"/>
          <w:kern w:val="0"/>
          <w:sz w:val="24"/>
          <w:highlight w:val="none"/>
        </w:rPr>
      </w:pPr>
      <w:bookmarkStart w:id="50" w:name="_Toc48207464"/>
      <w:bookmarkStart w:id="51" w:name="_Toc520971136"/>
      <w:r>
        <w:rPr>
          <w:rFonts w:hint="eastAsia" w:ascii="宋体" w:hAnsi="宋体" w:cs="宋体"/>
          <w:color w:val="auto"/>
          <w:kern w:val="0"/>
          <w:sz w:val="24"/>
          <w:highlight w:val="none"/>
        </w:rPr>
        <w:t>见附件</w:t>
      </w:r>
    </w:p>
    <w:p>
      <w:pPr>
        <w:pStyle w:val="3"/>
        <w:adjustRightInd w:val="0"/>
        <w:snapToGrid w:val="0"/>
        <w:rPr>
          <w:rFonts w:hint="eastAsia" w:ascii="宋体" w:hAnsi="宋体" w:cs="宋体"/>
          <w:color w:val="auto"/>
          <w:kern w:val="0"/>
          <w:highlight w:val="none"/>
        </w:rPr>
      </w:pPr>
      <w:r>
        <w:rPr>
          <w:rFonts w:hint="eastAsia" w:ascii="宋体" w:hAnsi="宋体" w:cs="宋体"/>
          <w:color w:val="auto"/>
          <w:kern w:val="0"/>
          <w:highlight w:val="none"/>
        </w:rPr>
        <w:br w:type="page"/>
      </w:r>
      <w:r>
        <w:rPr>
          <w:rFonts w:hint="eastAsia" w:ascii="宋体" w:hAnsi="宋体" w:cs="宋体"/>
          <w:color w:val="auto"/>
          <w:kern w:val="0"/>
          <w:highlight w:val="none"/>
        </w:rPr>
        <w:t>第六章 投标文件格式</w:t>
      </w:r>
      <w:bookmarkEnd w:id="50"/>
      <w:bookmarkEnd w:id="51"/>
    </w:p>
    <w:p>
      <w:pPr>
        <w:adjustRightInd w:val="0"/>
        <w:snapToGrid w:val="0"/>
        <w:spacing w:line="360" w:lineRule="auto"/>
        <w:rPr>
          <w:rFonts w:hint="eastAsia" w:ascii="宋体" w:hAnsi="宋体" w:cs="宋体"/>
          <w:color w:val="auto"/>
          <w:kern w:val="0"/>
          <w:highlight w:val="none"/>
        </w:rPr>
      </w:pPr>
    </w:p>
    <w:p>
      <w:pPr>
        <w:adjustRightInd w:val="0"/>
        <w:snapToGrid w:val="0"/>
        <w:spacing w:line="360" w:lineRule="auto"/>
        <w:jc w:val="center"/>
        <w:rPr>
          <w:rFonts w:hint="eastAsia" w:ascii="宋体" w:hAnsi="宋体" w:cs="宋体"/>
          <w:b/>
          <w:bCs/>
          <w:color w:val="auto"/>
          <w:kern w:val="0"/>
          <w:sz w:val="32"/>
          <w:highlight w:val="none"/>
        </w:rPr>
      </w:pPr>
    </w:p>
    <w:p>
      <w:pPr>
        <w:pStyle w:val="55"/>
        <w:widowControl w:val="0"/>
        <w:adjustRightInd w:val="0"/>
        <w:snapToGrid w:val="0"/>
        <w:spacing w:before="0" w:beforeAutospacing="0" w:after="0" w:afterAutospacing="0" w:line="360" w:lineRule="auto"/>
        <w:jc w:val="right"/>
        <w:rPr>
          <w:rFonts w:hint="eastAsia" w:cs="宋体"/>
          <w:color w:val="auto"/>
          <w:sz w:val="44"/>
          <w:szCs w:val="44"/>
          <w:highlight w:val="none"/>
          <w:bdr w:val="single" w:color="000000" w:sz="4" w:space="0"/>
        </w:rPr>
      </w:pPr>
      <w:bookmarkStart w:id="52" w:name="_Toc286661178"/>
      <w:r>
        <w:rPr>
          <w:rFonts w:hint="eastAsia" w:cs="宋体"/>
          <w:color w:val="auto"/>
          <w:sz w:val="44"/>
          <w:szCs w:val="44"/>
          <w:highlight w:val="none"/>
          <w:bdr w:val="single" w:color="000000" w:sz="4" w:space="0"/>
        </w:rPr>
        <w:t>正本/副本</w:t>
      </w:r>
    </w:p>
    <w:p>
      <w:pPr>
        <w:pStyle w:val="55"/>
        <w:widowControl w:val="0"/>
        <w:adjustRightInd w:val="0"/>
        <w:snapToGrid w:val="0"/>
        <w:spacing w:before="0" w:beforeAutospacing="0" w:after="0" w:afterAutospacing="0" w:line="360" w:lineRule="auto"/>
        <w:jc w:val="center"/>
        <w:rPr>
          <w:rFonts w:hint="eastAsia" w:cs="宋体"/>
          <w:b/>
          <w:color w:val="auto"/>
          <w:sz w:val="32"/>
          <w:szCs w:val="32"/>
          <w:highlight w:val="none"/>
        </w:rPr>
      </w:pPr>
      <w:r>
        <w:rPr>
          <w:rFonts w:hint="eastAsia" w:cs="宋体"/>
          <w:b/>
          <w:color w:val="auto"/>
          <w:sz w:val="32"/>
          <w:szCs w:val="32"/>
          <w:highlight w:val="none"/>
        </w:rPr>
        <w:t>（项目名称）</w:t>
      </w:r>
    </w:p>
    <w:p>
      <w:pPr>
        <w:pStyle w:val="55"/>
        <w:widowControl w:val="0"/>
        <w:adjustRightInd w:val="0"/>
        <w:snapToGrid w:val="0"/>
        <w:spacing w:before="0" w:beforeAutospacing="0" w:after="0" w:afterAutospacing="0" w:line="360" w:lineRule="auto"/>
        <w:rPr>
          <w:rFonts w:hint="eastAsia" w:cs="宋体"/>
          <w:color w:val="auto"/>
          <w:highlight w:val="none"/>
        </w:rPr>
      </w:pPr>
    </w:p>
    <w:p>
      <w:pPr>
        <w:pStyle w:val="55"/>
        <w:widowControl w:val="0"/>
        <w:adjustRightInd w:val="0"/>
        <w:snapToGrid w:val="0"/>
        <w:spacing w:before="0" w:beforeAutospacing="0" w:after="0" w:afterAutospacing="0" w:line="360" w:lineRule="auto"/>
        <w:jc w:val="center"/>
        <w:rPr>
          <w:rFonts w:hint="eastAsia" w:cs="宋体"/>
          <w:color w:val="auto"/>
          <w:sz w:val="72"/>
          <w:szCs w:val="72"/>
          <w:highlight w:val="none"/>
        </w:rPr>
      </w:pPr>
    </w:p>
    <w:p>
      <w:pPr>
        <w:pStyle w:val="55"/>
        <w:widowControl w:val="0"/>
        <w:adjustRightInd w:val="0"/>
        <w:snapToGrid w:val="0"/>
        <w:spacing w:before="0" w:beforeAutospacing="0" w:after="0" w:afterAutospacing="0" w:line="360" w:lineRule="auto"/>
        <w:jc w:val="center"/>
        <w:rPr>
          <w:rFonts w:hint="eastAsia" w:cs="宋体"/>
          <w:color w:val="auto"/>
          <w:sz w:val="72"/>
          <w:szCs w:val="72"/>
          <w:highlight w:val="none"/>
        </w:rPr>
      </w:pPr>
    </w:p>
    <w:p>
      <w:pPr>
        <w:pStyle w:val="55"/>
        <w:widowControl w:val="0"/>
        <w:adjustRightInd w:val="0"/>
        <w:snapToGrid w:val="0"/>
        <w:spacing w:before="0" w:beforeAutospacing="0" w:after="0" w:afterAutospacing="0" w:line="360" w:lineRule="auto"/>
        <w:jc w:val="center"/>
        <w:rPr>
          <w:rFonts w:hint="eastAsia" w:cs="宋体"/>
          <w:color w:val="auto"/>
          <w:highlight w:val="none"/>
        </w:rPr>
      </w:pPr>
      <w:r>
        <w:rPr>
          <w:rFonts w:hint="eastAsia" w:cs="宋体"/>
          <w:color w:val="auto"/>
          <w:sz w:val="72"/>
          <w:szCs w:val="72"/>
          <w:highlight w:val="none"/>
        </w:rPr>
        <w:t>投标书</w:t>
      </w:r>
    </w:p>
    <w:p>
      <w:pPr>
        <w:pStyle w:val="55"/>
        <w:widowControl w:val="0"/>
        <w:adjustRightInd w:val="0"/>
        <w:snapToGrid w:val="0"/>
        <w:spacing w:before="0" w:beforeAutospacing="0" w:after="0" w:afterAutospacing="0" w:line="360" w:lineRule="auto"/>
        <w:jc w:val="center"/>
        <w:rPr>
          <w:rFonts w:hint="eastAsia" w:cs="宋体"/>
          <w:color w:val="auto"/>
          <w:sz w:val="44"/>
          <w:szCs w:val="44"/>
          <w:highlight w:val="none"/>
        </w:rPr>
      </w:pPr>
      <w:r>
        <w:rPr>
          <w:rFonts w:hint="eastAsia" w:cs="宋体"/>
          <w:color w:val="auto"/>
          <w:sz w:val="44"/>
          <w:szCs w:val="44"/>
          <w:highlight w:val="none"/>
        </w:rPr>
        <w:t>（报价文件）</w:t>
      </w:r>
    </w:p>
    <w:p>
      <w:pPr>
        <w:pStyle w:val="55"/>
        <w:widowControl w:val="0"/>
        <w:adjustRightInd w:val="0"/>
        <w:snapToGrid w:val="0"/>
        <w:spacing w:before="0" w:beforeAutospacing="0" w:after="0" w:afterAutospacing="0" w:line="360" w:lineRule="auto"/>
        <w:jc w:val="center"/>
        <w:rPr>
          <w:rFonts w:hint="eastAsia" w:cs="宋体"/>
          <w:color w:val="auto"/>
          <w:highlight w:val="none"/>
        </w:rPr>
      </w:pPr>
    </w:p>
    <w:p>
      <w:pPr>
        <w:pStyle w:val="55"/>
        <w:widowControl w:val="0"/>
        <w:adjustRightInd w:val="0"/>
        <w:snapToGrid w:val="0"/>
        <w:spacing w:before="0" w:beforeAutospacing="0" w:after="0" w:afterAutospacing="0" w:line="360" w:lineRule="auto"/>
        <w:jc w:val="center"/>
        <w:rPr>
          <w:rFonts w:hint="eastAsia" w:cs="宋体"/>
          <w:color w:val="auto"/>
          <w:highlight w:val="none"/>
        </w:rPr>
      </w:pPr>
    </w:p>
    <w:p>
      <w:pPr>
        <w:pStyle w:val="8"/>
        <w:snapToGrid w:val="0"/>
        <w:spacing w:line="360" w:lineRule="auto"/>
        <w:rPr>
          <w:rFonts w:hint="eastAsia" w:ascii="宋体" w:hAnsi="宋体" w:cs="宋体"/>
          <w:color w:val="auto"/>
          <w:sz w:val="30"/>
          <w:highlight w:val="none"/>
          <w:u w:val="single"/>
        </w:rPr>
      </w:pPr>
      <w:r>
        <w:rPr>
          <w:rFonts w:hint="eastAsia" w:ascii="宋体" w:hAnsi="宋体" w:cs="宋体"/>
          <w:color w:val="auto"/>
          <w:sz w:val="30"/>
          <w:highlight w:val="none"/>
        </w:rPr>
        <w:t>投标人：</w:t>
      </w:r>
      <w:r>
        <w:rPr>
          <w:rFonts w:hint="eastAsia" w:ascii="宋体" w:hAnsi="宋体" w:cs="宋体"/>
          <w:color w:val="auto"/>
          <w:sz w:val="30"/>
          <w:highlight w:val="none"/>
          <w:u w:val="single"/>
        </w:rPr>
        <w:t>（盖单位公章）</w:t>
      </w:r>
    </w:p>
    <w:p>
      <w:pPr>
        <w:pStyle w:val="8"/>
        <w:snapToGrid w:val="0"/>
        <w:spacing w:line="360" w:lineRule="auto"/>
        <w:rPr>
          <w:rFonts w:hint="eastAsia" w:ascii="宋体" w:hAnsi="宋体" w:cs="宋体"/>
          <w:color w:val="auto"/>
          <w:sz w:val="30"/>
          <w:highlight w:val="none"/>
        </w:rPr>
      </w:pPr>
    </w:p>
    <w:p>
      <w:pPr>
        <w:pStyle w:val="8"/>
        <w:snapToGrid w:val="0"/>
        <w:spacing w:line="360" w:lineRule="auto"/>
        <w:rPr>
          <w:rFonts w:hint="eastAsia" w:ascii="宋体" w:hAnsi="宋体" w:cs="宋体"/>
          <w:color w:val="auto"/>
          <w:sz w:val="30"/>
          <w:highlight w:val="none"/>
          <w:u w:val="single"/>
        </w:rPr>
      </w:pPr>
      <w:r>
        <w:rPr>
          <w:rFonts w:hint="eastAsia" w:ascii="宋体" w:hAnsi="宋体" w:cs="宋体"/>
          <w:color w:val="auto"/>
          <w:sz w:val="30"/>
          <w:highlight w:val="none"/>
        </w:rPr>
        <w:t>法定代表人或其委托代理人：</w:t>
      </w:r>
      <w:r>
        <w:rPr>
          <w:rFonts w:hint="eastAsia" w:ascii="宋体" w:hAnsi="宋体" w:cs="宋体"/>
          <w:color w:val="auto"/>
          <w:sz w:val="30"/>
          <w:highlight w:val="none"/>
          <w:u w:val="single"/>
        </w:rPr>
        <w:t>（签字或盖章）</w:t>
      </w:r>
    </w:p>
    <w:p>
      <w:pPr>
        <w:pStyle w:val="8"/>
        <w:snapToGrid w:val="0"/>
        <w:spacing w:line="360" w:lineRule="auto"/>
        <w:rPr>
          <w:rFonts w:hint="eastAsia" w:ascii="宋体" w:hAnsi="宋体" w:cs="宋体"/>
          <w:color w:val="auto"/>
          <w:sz w:val="30"/>
          <w:highlight w:val="none"/>
        </w:rPr>
      </w:pPr>
    </w:p>
    <w:p>
      <w:pPr>
        <w:pStyle w:val="8"/>
        <w:snapToGrid w:val="0"/>
        <w:spacing w:line="360" w:lineRule="auto"/>
        <w:rPr>
          <w:rFonts w:hint="eastAsia" w:ascii="宋体" w:hAnsi="宋体" w:cs="宋体"/>
          <w:color w:val="auto"/>
          <w:sz w:val="30"/>
          <w:highlight w:val="none"/>
        </w:rPr>
      </w:pPr>
      <w:r>
        <w:rPr>
          <w:rFonts w:hint="eastAsia" w:ascii="宋体" w:hAnsi="宋体" w:cs="宋体"/>
          <w:color w:val="auto"/>
          <w:sz w:val="30"/>
          <w:highlight w:val="none"/>
        </w:rPr>
        <w:t>日期：</w:t>
      </w:r>
    </w:p>
    <w:bookmarkEnd w:id="52"/>
    <w:p>
      <w:pPr>
        <w:adjustRightInd w:val="0"/>
        <w:snapToGrid w:val="0"/>
        <w:spacing w:line="360" w:lineRule="auto"/>
        <w:jc w:val="left"/>
        <w:rPr>
          <w:rFonts w:hint="eastAsia" w:ascii="宋体" w:hAnsi="宋体" w:cs="宋体"/>
          <w:color w:val="auto"/>
          <w:kern w:val="0"/>
          <w:sz w:val="32"/>
          <w:szCs w:val="20"/>
          <w:highlight w:val="none"/>
        </w:rPr>
      </w:pPr>
    </w:p>
    <w:p>
      <w:pPr>
        <w:pStyle w:val="4"/>
        <w:adjustRightInd w:val="0"/>
        <w:snapToGrid w:val="0"/>
        <w:rPr>
          <w:rFonts w:hint="eastAsia" w:ascii="宋体" w:hAnsi="宋体" w:cs="宋体"/>
          <w:color w:val="auto"/>
          <w:kern w:val="0"/>
          <w:highlight w:val="none"/>
        </w:rPr>
      </w:pPr>
      <w:bookmarkStart w:id="53" w:name="_Toc48207465"/>
      <w:r>
        <w:rPr>
          <w:rFonts w:hint="eastAsia" w:ascii="宋体" w:hAnsi="宋体" w:cs="宋体"/>
          <w:color w:val="auto"/>
          <w:kern w:val="0"/>
          <w:highlight w:val="none"/>
        </w:rPr>
        <w:br w:type="page"/>
      </w:r>
      <w:r>
        <w:rPr>
          <w:rFonts w:hint="eastAsia" w:ascii="宋体" w:hAnsi="宋体" w:cs="宋体"/>
          <w:color w:val="auto"/>
          <w:kern w:val="0"/>
          <w:highlight w:val="none"/>
        </w:rPr>
        <w:t>一、投标函</w:t>
      </w:r>
      <w:bookmarkEnd w:id="53"/>
    </w:p>
    <w:p>
      <w:pPr>
        <w:pStyle w:val="8"/>
        <w:snapToGrid w:val="0"/>
        <w:spacing w:line="360" w:lineRule="auto"/>
        <w:ind w:firstLine="0"/>
        <w:rPr>
          <w:rFonts w:hint="eastAsia" w:ascii="宋体" w:hAnsi="宋体" w:eastAsia="宋体" w:cs="宋体"/>
          <w:color w:val="auto"/>
          <w:highlight w:val="none"/>
          <w:u w:val="single"/>
          <w:lang w:eastAsia="zh-CN"/>
        </w:rPr>
      </w:pPr>
      <w:r>
        <w:rPr>
          <w:rFonts w:hint="eastAsia" w:ascii="宋体" w:hAnsi="宋体" w:cs="宋体"/>
          <w:color w:val="auto"/>
          <w:highlight w:val="none"/>
          <w:u w:val="single"/>
        </w:rPr>
        <w:t>致：</w:t>
      </w:r>
      <w:r>
        <w:rPr>
          <w:rFonts w:hint="eastAsia" w:ascii="宋体" w:hAnsi="宋体" w:cs="宋体"/>
          <w:color w:val="auto"/>
          <w:highlight w:val="none"/>
          <w:u w:val="single"/>
          <w:lang w:eastAsia="zh-CN"/>
        </w:rPr>
        <w:t>江苏南通二棉有限公司</w:t>
      </w:r>
    </w:p>
    <w:p>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（一）根据已收到工程的招标文件，我方经仔细研究招标文件全部内容并对现场进行踏勘后，愿遵守《中华人民共和国招标投标法》等有关法律文件的规定，并愿以</w:t>
      </w:r>
      <w:r>
        <w:rPr>
          <w:rFonts w:hint="eastAsia" w:ascii="宋体" w:hAnsi="宋体" w:cs="宋体"/>
          <w:color w:val="auto"/>
          <w:highlight w:val="none"/>
          <w:u w:val="single"/>
        </w:rPr>
        <w:t>人民币(大写)          （小写¥        元）</w:t>
      </w:r>
      <w:r>
        <w:rPr>
          <w:rFonts w:hint="eastAsia" w:ascii="宋体" w:hAnsi="宋体" w:cs="宋体"/>
          <w:color w:val="auto"/>
          <w:highlight w:val="none"/>
        </w:rPr>
        <w:t>的总价，按招标文件的要求承包本次招标范围内的全部工程，修补工程中的任何缺陷。</w:t>
      </w:r>
    </w:p>
    <w:p>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（二）</w:t>
      </w:r>
      <w:r>
        <w:rPr>
          <w:rFonts w:hint="eastAsia" w:ascii="宋体" w:hAnsi="宋体" w:cs="宋体"/>
          <w:bCs/>
          <w:color w:val="auto"/>
          <w:highlight w:val="none"/>
        </w:rPr>
        <w:t>我方保证在收到贵单位发出的书面开工令后立即开工，并保证在工期</w:t>
      </w:r>
      <w:r>
        <w:rPr>
          <w:rFonts w:hint="eastAsia" w:ascii="宋体" w:hAnsi="宋体" w:cs="宋体"/>
          <w:bCs/>
          <w:color w:val="auto"/>
          <w:highlight w:val="none"/>
          <w:u w:val="single"/>
        </w:rPr>
        <w:t xml:space="preserve">   </w:t>
      </w:r>
      <w:r>
        <w:rPr>
          <w:rFonts w:hint="eastAsia" w:ascii="宋体" w:hAnsi="宋体" w:cs="宋体"/>
          <w:bCs/>
          <w:color w:val="auto"/>
          <w:highlight w:val="none"/>
        </w:rPr>
        <w:t>天内竣工并移交整个工程及相关资料。</w:t>
      </w:r>
    </w:p>
    <w:p>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（三）我方保证本工程质量达到</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（四）我方金额为人民币</w:t>
      </w:r>
      <w:r>
        <w:rPr>
          <w:rFonts w:hint="eastAsia" w:ascii="宋体" w:hAnsi="宋体" w:cs="宋体"/>
          <w:color w:val="auto"/>
          <w:highlight w:val="none"/>
          <w:u w:val="single"/>
        </w:rPr>
        <w:t xml:space="preserve">       </w:t>
      </w:r>
      <w:r>
        <w:rPr>
          <w:rFonts w:hint="eastAsia" w:ascii="宋体" w:hAnsi="宋体" w:cs="宋体"/>
          <w:color w:val="auto"/>
          <w:highlight w:val="none"/>
        </w:rPr>
        <w:t>元的投标保证金已按招标文件的要求提交。</w:t>
      </w:r>
    </w:p>
    <w:p>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（五）如果我方中标，我方承诺在收到中标通知书后，在中标通知书规定的期限内与贵方签订合同，并将按照招标文件规定的时间、数额提交履约保证金和中标差额保证金。</w:t>
      </w:r>
    </w:p>
    <w:p>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（六）贵单位的招标文件、中标通知书和本投标文件将构成约束我们双方的合同。</w:t>
      </w:r>
    </w:p>
    <w:p>
      <w:pPr>
        <w:pStyle w:val="8"/>
        <w:snapToGrid w:val="0"/>
        <w:spacing w:line="360" w:lineRule="auto"/>
        <w:ind w:firstLine="0"/>
        <w:rPr>
          <w:rFonts w:hint="eastAsia" w:ascii="宋体" w:hAnsi="宋体" w:cs="宋体"/>
          <w:color w:val="auto"/>
          <w:highlight w:val="none"/>
        </w:rPr>
      </w:pPr>
    </w:p>
    <w:p>
      <w:pPr>
        <w:pStyle w:val="8"/>
        <w:snapToGrid w:val="0"/>
        <w:spacing w:line="360" w:lineRule="auto"/>
        <w:ind w:firstLine="0"/>
        <w:rPr>
          <w:rFonts w:hint="eastAsia" w:ascii="宋体" w:hAnsi="宋体" w:cs="宋体"/>
          <w:color w:val="auto"/>
          <w:highlight w:val="none"/>
        </w:rPr>
      </w:pPr>
    </w:p>
    <w:p>
      <w:pPr>
        <w:pStyle w:val="8"/>
        <w:snapToGrid w:val="0"/>
        <w:spacing w:line="360" w:lineRule="auto"/>
        <w:ind w:firstLine="0"/>
        <w:rPr>
          <w:rFonts w:hint="eastAsia" w:ascii="宋体" w:hAnsi="宋体" w:cs="宋体"/>
          <w:color w:val="auto"/>
          <w:highlight w:val="none"/>
          <w:u w:val="single"/>
        </w:rPr>
      </w:pPr>
      <w:r>
        <w:rPr>
          <w:rFonts w:hint="eastAsia" w:ascii="宋体" w:hAnsi="宋体" w:cs="宋体"/>
          <w:color w:val="auto"/>
          <w:highlight w:val="none"/>
        </w:rPr>
        <w:t>投标人(盖公章)：</w:t>
      </w:r>
    </w:p>
    <w:p>
      <w:pPr>
        <w:pStyle w:val="8"/>
        <w:snapToGrid w:val="0"/>
        <w:spacing w:line="360" w:lineRule="auto"/>
        <w:ind w:firstLine="0"/>
        <w:rPr>
          <w:rFonts w:hint="eastAsia" w:ascii="宋体" w:hAnsi="宋体" w:cs="宋体"/>
          <w:color w:val="auto"/>
          <w:highlight w:val="none"/>
        </w:rPr>
      </w:pPr>
    </w:p>
    <w:p>
      <w:pPr>
        <w:pStyle w:val="8"/>
        <w:snapToGrid w:val="0"/>
        <w:spacing w:line="360" w:lineRule="auto"/>
        <w:ind w:firstLine="0"/>
        <w:rPr>
          <w:rFonts w:hint="eastAsia" w:ascii="宋体" w:hAnsi="宋体" w:cs="宋体"/>
          <w:color w:val="auto"/>
          <w:highlight w:val="none"/>
        </w:rPr>
      </w:pPr>
    </w:p>
    <w:p>
      <w:pPr>
        <w:pStyle w:val="8"/>
        <w:snapToGrid w:val="0"/>
        <w:spacing w:line="360" w:lineRule="auto"/>
        <w:ind w:firstLine="0"/>
        <w:rPr>
          <w:rFonts w:hint="eastAsia" w:ascii="宋体" w:hAnsi="宋体" w:cs="宋体"/>
          <w:color w:val="auto"/>
          <w:highlight w:val="none"/>
        </w:rPr>
      </w:pPr>
      <w:r>
        <w:rPr>
          <w:rFonts w:hint="eastAsia" w:ascii="宋体" w:hAnsi="宋体" w:cs="宋体"/>
          <w:color w:val="auto"/>
          <w:highlight w:val="none"/>
        </w:rPr>
        <w:t>法定代表人或授权委托人(签字或盖章)：</w:t>
      </w:r>
    </w:p>
    <w:p>
      <w:pPr>
        <w:pStyle w:val="8"/>
        <w:snapToGrid w:val="0"/>
        <w:spacing w:line="360" w:lineRule="auto"/>
        <w:ind w:firstLine="0"/>
        <w:rPr>
          <w:rFonts w:hint="eastAsia" w:ascii="宋体" w:hAnsi="宋体" w:cs="宋体"/>
          <w:color w:val="auto"/>
          <w:highlight w:val="none"/>
        </w:rPr>
      </w:pPr>
    </w:p>
    <w:p>
      <w:pPr>
        <w:pStyle w:val="8"/>
        <w:snapToGrid w:val="0"/>
        <w:spacing w:line="360" w:lineRule="auto"/>
        <w:ind w:firstLine="0"/>
        <w:rPr>
          <w:rFonts w:hint="eastAsia" w:ascii="宋体" w:hAnsi="宋体" w:cs="宋体"/>
          <w:color w:val="auto"/>
          <w:highlight w:val="none"/>
        </w:rPr>
      </w:pPr>
    </w:p>
    <w:p>
      <w:pPr>
        <w:pStyle w:val="8"/>
        <w:snapToGrid w:val="0"/>
        <w:spacing w:line="360" w:lineRule="auto"/>
        <w:ind w:firstLine="0"/>
        <w:rPr>
          <w:rFonts w:hint="eastAsia" w:ascii="宋体" w:hAnsi="宋体" w:cs="宋体"/>
          <w:color w:val="auto"/>
          <w:highlight w:val="none"/>
        </w:rPr>
      </w:pPr>
      <w:r>
        <w:rPr>
          <w:rFonts w:hint="eastAsia" w:ascii="宋体" w:hAnsi="宋体" w:cs="宋体"/>
          <w:color w:val="auto"/>
          <w:highlight w:val="none"/>
        </w:rPr>
        <w:t>日期：年月日</w:t>
      </w:r>
    </w:p>
    <w:p>
      <w:pPr>
        <w:pStyle w:val="8"/>
        <w:snapToGrid w:val="0"/>
        <w:spacing w:line="360" w:lineRule="auto"/>
        <w:ind w:firstLine="0"/>
        <w:jc w:val="right"/>
        <w:rPr>
          <w:rFonts w:hint="eastAsia" w:ascii="宋体" w:hAnsi="宋体" w:cs="宋体"/>
          <w:color w:val="auto"/>
          <w:sz w:val="25"/>
          <w:highlight w:val="none"/>
        </w:rPr>
      </w:pPr>
    </w:p>
    <w:p>
      <w:pPr>
        <w:pStyle w:val="8"/>
        <w:snapToGrid w:val="0"/>
        <w:spacing w:line="360" w:lineRule="auto"/>
        <w:ind w:firstLine="0"/>
        <w:jc w:val="right"/>
        <w:rPr>
          <w:rFonts w:hint="eastAsia" w:ascii="宋体" w:hAnsi="宋体" w:cs="宋体"/>
          <w:color w:val="auto"/>
          <w:sz w:val="25"/>
          <w:highlight w:val="none"/>
        </w:rPr>
      </w:pPr>
    </w:p>
    <w:p>
      <w:pPr>
        <w:pStyle w:val="4"/>
        <w:adjustRightInd w:val="0"/>
        <w:snapToGrid w:val="0"/>
        <w:rPr>
          <w:rFonts w:hint="eastAsia" w:ascii="宋体" w:hAnsi="宋体" w:cs="宋体"/>
          <w:color w:val="auto"/>
          <w:kern w:val="0"/>
          <w:szCs w:val="24"/>
          <w:highlight w:val="none"/>
        </w:rPr>
      </w:pPr>
      <w:r>
        <w:rPr>
          <w:rFonts w:hint="eastAsia" w:ascii="宋体" w:hAnsi="宋体" w:cs="宋体"/>
          <w:bCs w:val="0"/>
          <w:color w:val="auto"/>
          <w:kern w:val="0"/>
          <w:szCs w:val="24"/>
          <w:highlight w:val="none"/>
        </w:rPr>
        <w:br w:type="page"/>
      </w:r>
      <w:bookmarkStart w:id="54" w:name="_Toc48207466"/>
      <w:r>
        <w:rPr>
          <w:rFonts w:hint="eastAsia" w:ascii="宋体" w:hAnsi="宋体" w:cs="宋体"/>
          <w:color w:val="auto"/>
          <w:kern w:val="0"/>
          <w:highlight w:val="none"/>
        </w:rPr>
        <w:t>二、已标价的工程量清单</w:t>
      </w:r>
      <w:bookmarkEnd w:id="54"/>
    </w:p>
    <w:p>
      <w:pPr>
        <w:pStyle w:val="119"/>
        <w:snapToGrid w:val="0"/>
        <w:spacing w:after="0" w:line="360" w:lineRule="auto"/>
        <w:rPr>
          <w:rFonts w:hint="eastAsia" w:ascii="宋体" w:hAnsi="宋体" w:cs="宋体"/>
          <w:color w:val="auto"/>
          <w:szCs w:val="21"/>
          <w:highlight w:val="none"/>
          <w:u w:val="single"/>
        </w:rPr>
      </w:pPr>
    </w:p>
    <w:p>
      <w:pPr>
        <w:adjustRightInd w:val="0"/>
        <w:snapToGrid w:val="0"/>
        <w:spacing w:line="360" w:lineRule="auto"/>
        <w:jc w:val="right"/>
        <w:rPr>
          <w:rFonts w:hint="eastAsia" w:ascii="宋体" w:hAnsi="宋体" w:cs="宋体"/>
          <w:color w:val="auto"/>
          <w:kern w:val="0"/>
          <w:szCs w:val="21"/>
          <w:highlight w:val="none"/>
        </w:rPr>
      </w:pPr>
      <w:bookmarkStart w:id="55" w:name="_Toc286661180"/>
    </w:p>
    <w:p>
      <w:pPr>
        <w:adjustRightInd w:val="0"/>
        <w:snapToGrid w:val="0"/>
        <w:spacing w:line="360" w:lineRule="auto"/>
        <w:jc w:val="right"/>
        <w:rPr>
          <w:rFonts w:hint="eastAsia" w:ascii="宋体" w:hAnsi="宋体" w:cs="宋体"/>
          <w:color w:val="auto"/>
          <w:kern w:val="0"/>
          <w:szCs w:val="21"/>
          <w:highlight w:val="none"/>
        </w:rPr>
      </w:pPr>
    </w:p>
    <w:p>
      <w:pPr>
        <w:adjustRightInd w:val="0"/>
        <w:snapToGrid w:val="0"/>
        <w:spacing w:line="360" w:lineRule="auto"/>
        <w:jc w:val="right"/>
        <w:rPr>
          <w:rFonts w:hint="eastAsia" w:ascii="宋体" w:hAnsi="宋体" w:cs="宋体"/>
          <w:color w:val="auto"/>
          <w:kern w:val="0"/>
          <w:szCs w:val="21"/>
          <w:highlight w:val="none"/>
        </w:rPr>
      </w:pPr>
    </w:p>
    <w:p>
      <w:pPr>
        <w:adjustRightInd w:val="0"/>
        <w:snapToGrid w:val="0"/>
        <w:spacing w:line="360" w:lineRule="auto"/>
        <w:jc w:val="right"/>
        <w:rPr>
          <w:rFonts w:hint="eastAsia" w:ascii="宋体" w:hAnsi="宋体" w:cs="宋体"/>
          <w:color w:val="auto"/>
          <w:kern w:val="0"/>
          <w:szCs w:val="21"/>
          <w:highlight w:val="none"/>
        </w:rPr>
      </w:pPr>
    </w:p>
    <w:p>
      <w:pPr>
        <w:pStyle w:val="4"/>
        <w:adjustRightInd w:val="0"/>
        <w:snapToGrid w:val="0"/>
        <w:rPr>
          <w:rFonts w:hint="eastAsia" w:ascii="宋体" w:hAnsi="宋体" w:cs="宋体"/>
          <w:color w:val="auto"/>
          <w:kern w:val="0"/>
          <w:highlight w:val="none"/>
        </w:rPr>
      </w:pPr>
      <w:r>
        <w:rPr>
          <w:rFonts w:hint="eastAsia" w:ascii="宋体" w:hAnsi="宋体" w:cs="宋体"/>
          <w:color w:val="auto"/>
          <w:kern w:val="0"/>
          <w:szCs w:val="21"/>
          <w:highlight w:val="none"/>
        </w:rPr>
        <w:br w:type="page"/>
      </w:r>
      <w:bookmarkEnd w:id="55"/>
      <w:bookmarkStart w:id="56" w:name="_Toc48207467"/>
      <w:r>
        <w:rPr>
          <w:rFonts w:hint="eastAsia" w:ascii="宋体" w:hAnsi="宋体" w:cs="宋体"/>
          <w:color w:val="auto"/>
          <w:kern w:val="0"/>
          <w:highlight w:val="none"/>
        </w:rPr>
        <w:t>三、计划投入的主要施工机械设备表</w:t>
      </w:r>
      <w:bookmarkEnd w:id="56"/>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序号</w:t>
            </w:r>
          </w:p>
        </w:tc>
        <w:tc>
          <w:tcPr>
            <w:tcW w:w="1947"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机械设备名称</w:t>
            </w:r>
          </w:p>
        </w:tc>
        <w:tc>
          <w:tcPr>
            <w:tcW w:w="801"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型号规格</w:t>
            </w:r>
          </w:p>
        </w:tc>
        <w:tc>
          <w:tcPr>
            <w:tcW w:w="801"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数量</w:t>
            </w:r>
          </w:p>
        </w:tc>
        <w:tc>
          <w:tcPr>
            <w:tcW w:w="1031"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国别</w:t>
            </w:r>
          </w:p>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产地</w:t>
            </w:r>
          </w:p>
        </w:tc>
        <w:tc>
          <w:tcPr>
            <w:tcW w:w="1031"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制造</w:t>
            </w:r>
          </w:p>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年份</w:t>
            </w:r>
          </w:p>
        </w:tc>
        <w:tc>
          <w:tcPr>
            <w:tcW w:w="1260"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额定功率(KW)</w:t>
            </w:r>
          </w:p>
        </w:tc>
        <w:tc>
          <w:tcPr>
            <w:tcW w:w="1260"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生产能力(MH)</w:t>
            </w:r>
          </w:p>
        </w:tc>
        <w:tc>
          <w:tcPr>
            <w:tcW w:w="801" w:type="dxa"/>
            <w:vAlign w:val="center"/>
          </w:tcPr>
          <w:p>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pPr>
              <w:pStyle w:val="8"/>
              <w:snapToGrid w:val="0"/>
              <w:spacing w:line="360" w:lineRule="auto"/>
              <w:ind w:firstLine="0"/>
              <w:rPr>
                <w:rFonts w:hint="eastAsia" w:ascii="宋体" w:hAnsi="宋体" w:cs="宋体"/>
                <w:color w:val="auto"/>
                <w:highlight w:val="none"/>
              </w:rPr>
            </w:pPr>
          </w:p>
        </w:tc>
        <w:tc>
          <w:tcPr>
            <w:tcW w:w="1947"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031"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1260" w:type="dxa"/>
            <w:vAlign w:val="center"/>
          </w:tcPr>
          <w:p>
            <w:pPr>
              <w:pStyle w:val="8"/>
              <w:snapToGrid w:val="0"/>
              <w:spacing w:line="360" w:lineRule="auto"/>
              <w:ind w:firstLine="0"/>
              <w:rPr>
                <w:rFonts w:hint="eastAsia" w:ascii="宋体" w:hAnsi="宋体" w:cs="宋体"/>
                <w:color w:val="auto"/>
                <w:highlight w:val="none"/>
              </w:rPr>
            </w:pPr>
          </w:p>
        </w:tc>
        <w:tc>
          <w:tcPr>
            <w:tcW w:w="801" w:type="dxa"/>
            <w:vAlign w:val="center"/>
          </w:tcPr>
          <w:p>
            <w:pPr>
              <w:pStyle w:val="8"/>
              <w:snapToGrid w:val="0"/>
              <w:spacing w:line="360" w:lineRule="auto"/>
              <w:ind w:firstLine="0"/>
              <w:rPr>
                <w:rFonts w:hint="eastAsia" w:ascii="宋体" w:hAnsi="宋体" w:cs="宋体"/>
                <w:color w:val="auto"/>
                <w:highlight w:val="none"/>
              </w:rPr>
            </w:pPr>
          </w:p>
        </w:tc>
      </w:tr>
    </w:tbl>
    <w:p>
      <w:pPr>
        <w:pStyle w:val="8"/>
        <w:snapToGrid w:val="0"/>
        <w:spacing w:line="360" w:lineRule="auto"/>
        <w:ind w:firstLine="0"/>
        <w:jc w:val="center"/>
        <w:rPr>
          <w:rFonts w:hint="eastAsia" w:ascii="宋体" w:hAnsi="宋体" w:cs="宋体"/>
          <w:b/>
          <w:bCs/>
          <w:color w:val="auto"/>
          <w:sz w:val="32"/>
          <w:szCs w:val="32"/>
          <w:highlight w:val="none"/>
        </w:rPr>
      </w:pPr>
    </w:p>
    <w:p>
      <w:pPr>
        <w:adjustRightInd w:val="0"/>
        <w:snapToGrid w:val="0"/>
        <w:spacing w:line="360" w:lineRule="auto"/>
        <w:jc w:val="left"/>
        <w:rPr>
          <w:rFonts w:hint="eastAsia" w:ascii="宋体" w:hAnsi="宋体" w:cs="宋体"/>
          <w:b/>
          <w:bCs/>
          <w:color w:val="auto"/>
          <w:kern w:val="0"/>
          <w:sz w:val="32"/>
          <w:szCs w:val="32"/>
          <w:highlight w:val="none"/>
        </w:rPr>
      </w:pPr>
    </w:p>
    <w:p>
      <w:pPr>
        <w:pStyle w:val="4"/>
        <w:adjustRightInd w:val="0"/>
        <w:snapToGrid w:val="0"/>
        <w:rPr>
          <w:rFonts w:hint="eastAsia" w:ascii="宋体" w:hAnsi="宋体" w:cs="宋体"/>
          <w:color w:val="auto"/>
          <w:kern w:val="0"/>
          <w:highlight w:val="none"/>
        </w:rPr>
      </w:pPr>
      <w:bookmarkStart w:id="57" w:name="_Toc48207468"/>
      <w:r>
        <w:rPr>
          <w:rFonts w:hint="eastAsia" w:ascii="宋体" w:hAnsi="宋体" w:cs="宋体"/>
          <w:b w:val="0"/>
          <w:bCs w:val="0"/>
          <w:color w:val="auto"/>
          <w:kern w:val="0"/>
          <w:highlight w:val="none"/>
        </w:rPr>
        <w:br w:type="page"/>
      </w:r>
      <w:bookmarkEnd w:id="57"/>
      <w:r>
        <w:rPr>
          <w:rFonts w:hint="eastAsia" w:ascii="宋体" w:hAnsi="宋体" w:cs="宋体"/>
          <w:color w:val="auto"/>
          <w:kern w:val="0"/>
          <w:highlight w:val="none"/>
          <w:lang w:val="en-US" w:eastAsia="zh-CN"/>
        </w:rPr>
        <w:t>四</w:t>
      </w:r>
      <w:r>
        <w:rPr>
          <w:rFonts w:hint="eastAsia" w:ascii="宋体" w:hAnsi="宋体" w:cs="宋体"/>
          <w:color w:val="auto"/>
          <w:kern w:val="0"/>
          <w:highlight w:val="none"/>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    称</w:t>
            </w:r>
          </w:p>
        </w:tc>
        <w:tc>
          <w:tcPr>
            <w:tcW w:w="1418" w:type="dxa"/>
            <w:tcBorders>
              <w:top w:val="single" w:color="auto" w:sz="12" w:space="0"/>
              <w:bottom w:val="doub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332" w:type="dxa"/>
            <w:tcBorders>
              <w:top w:val="single" w:color="auto" w:sz="12" w:space="0"/>
              <w:bottom w:val="doub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注册证或资格证书编号</w:t>
            </w:r>
          </w:p>
        </w:tc>
        <w:tc>
          <w:tcPr>
            <w:tcW w:w="1276" w:type="dxa"/>
            <w:tcBorders>
              <w:top w:val="single" w:color="auto" w:sz="12" w:space="0"/>
              <w:bottom w:val="doub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职称以及证书编号</w:t>
            </w:r>
          </w:p>
        </w:tc>
        <w:tc>
          <w:tcPr>
            <w:tcW w:w="3912" w:type="dxa"/>
            <w:tcBorders>
              <w:top w:val="single" w:color="auto" w:sz="12" w:space="0"/>
              <w:bottom w:val="doub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一、总部人员（可自主选择是否填写）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项目主管</w:t>
            </w:r>
          </w:p>
        </w:tc>
        <w:tc>
          <w:tcPr>
            <w:tcW w:w="1418" w:type="dxa"/>
            <w:tcBorders>
              <w:top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tcBorders>
              <w:top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tcBorders>
              <w:top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tcBorders>
              <w:top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其他人员</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项目负责人</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项目副经理（如有）</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技术负责人</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质量员</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施工员</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安全员</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其他人员</w:t>
            </w: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418" w:type="dxa"/>
            <w:tcBorders>
              <w:bottom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tcBorders>
              <w:bottom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tcBorders>
              <w:bottom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tcBorders>
              <w:bottom w:val="nil"/>
            </w:tcBorders>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pPr>
              <w:pStyle w:val="2"/>
              <w:keepNext/>
              <w:adjustRightInd w:val="0"/>
              <w:snapToGrid w:val="0"/>
              <w:ind w:left="63" w:right="63"/>
              <w:rPr>
                <w:rFonts w:hint="eastAsia" w:ascii="宋体" w:hAnsi="宋体" w:eastAsia="宋体" w:cs="宋体"/>
                <w:color w:val="auto"/>
                <w:kern w:val="0"/>
                <w:sz w:val="24"/>
                <w:highlight w:val="none"/>
              </w:rPr>
            </w:pPr>
          </w:p>
        </w:tc>
      </w:tr>
    </w:tbl>
    <w:p>
      <w:pPr>
        <w:tabs>
          <w:tab w:val="left" w:pos="993"/>
        </w:tabs>
        <w:adjustRightInd w:val="0"/>
        <w:snapToGrid w:val="0"/>
        <w:spacing w:line="360" w:lineRule="auto"/>
        <w:rPr>
          <w:rFonts w:hint="eastAsia" w:ascii="宋体" w:hAnsi="宋体" w:cs="宋体"/>
          <w:b/>
          <w:bCs/>
          <w:color w:val="auto"/>
          <w:kern w:val="0"/>
          <w:sz w:val="24"/>
          <w:highlight w:val="none"/>
        </w:rPr>
      </w:pPr>
    </w:p>
    <w:p>
      <w:pPr>
        <w:tabs>
          <w:tab w:val="left" w:pos="993"/>
        </w:tabs>
        <w:adjustRightInd w:val="0"/>
        <w:snapToGrid w:val="0"/>
        <w:spacing w:line="360" w:lineRule="auto"/>
        <w:rPr>
          <w:rFonts w:hint="eastAsia" w:ascii="宋体" w:hAnsi="宋体" w:cs="宋体"/>
          <w:b/>
          <w:bCs/>
          <w:color w:val="auto"/>
          <w:kern w:val="0"/>
          <w:szCs w:val="21"/>
          <w:highlight w:val="none"/>
        </w:rPr>
      </w:pPr>
    </w:p>
    <w:p>
      <w:pPr>
        <w:adjustRightInd w:val="0"/>
        <w:snapToGrid w:val="0"/>
        <w:spacing w:line="360" w:lineRule="auto"/>
        <w:rPr>
          <w:rFonts w:hint="eastAsia" w:ascii="宋体" w:hAnsi="宋体" w:cs="宋体"/>
          <w:b/>
          <w:color w:val="auto"/>
          <w:kern w:val="0"/>
          <w:sz w:val="28"/>
          <w:szCs w:val="22"/>
          <w:highlight w:val="none"/>
        </w:rPr>
      </w:pPr>
    </w:p>
    <w:p>
      <w:pPr>
        <w:pStyle w:val="8"/>
        <w:snapToGrid w:val="0"/>
        <w:spacing w:line="360" w:lineRule="auto"/>
        <w:ind w:firstLine="0"/>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pStyle w:val="3"/>
        <w:adjustRightInd w:val="0"/>
        <w:snapToGrid w:val="0"/>
        <w:rPr>
          <w:rFonts w:hint="eastAsia" w:ascii="宋体" w:hAnsi="宋体" w:cs="宋体"/>
          <w:color w:val="auto"/>
          <w:kern w:val="0"/>
          <w:highlight w:val="none"/>
        </w:rPr>
      </w:pPr>
      <w:bookmarkStart w:id="58" w:name="_Toc48207469"/>
      <w:r>
        <w:rPr>
          <w:rFonts w:hint="eastAsia" w:ascii="宋体" w:hAnsi="宋体" w:cs="宋体"/>
          <w:color w:val="auto"/>
          <w:kern w:val="0"/>
          <w:highlight w:val="none"/>
        </w:rPr>
        <w:t>第七章</w:t>
      </w:r>
      <w:bookmarkStart w:id="59" w:name="_Toc262456721"/>
      <w:bookmarkStart w:id="60" w:name="_Toc288209286"/>
      <w:bookmarkStart w:id="61" w:name="_Toc288889655"/>
      <w:r>
        <w:rPr>
          <w:rFonts w:hint="eastAsia" w:ascii="宋体" w:hAnsi="宋体" w:cs="宋体"/>
          <w:color w:val="auto"/>
          <w:kern w:val="0"/>
          <w:highlight w:val="none"/>
        </w:rPr>
        <w:t xml:space="preserve"> 资格审查证明材料</w:t>
      </w:r>
      <w:bookmarkEnd w:id="58"/>
      <w:bookmarkEnd w:id="59"/>
      <w:bookmarkEnd w:id="60"/>
      <w:bookmarkEnd w:id="61"/>
    </w:p>
    <w:p>
      <w:pPr>
        <w:pStyle w:val="55"/>
        <w:widowControl w:val="0"/>
        <w:adjustRightInd w:val="0"/>
        <w:snapToGrid w:val="0"/>
        <w:spacing w:before="0" w:beforeAutospacing="0" w:after="0" w:afterAutospacing="0" w:line="360" w:lineRule="auto"/>
        <w:jc w:val="right"/>
        <w:rPr>
          <w:rFonts w:hint="eastAsia" w:cs="宋体"/>
          <w:color w:val="auto"/>
          <w:sz w:val="44"/>
          <w:szCs w:val="44"/>
          <w:highlight w:val="none"/>
          <w:bdr w:val="single" w:color="000000" w:sz="4" w:space="0"/>
        </w:rPr>
      </w:pPr>
    </w:p>
    <w:p>
      <w:pPr>
        <w:pStyle w:val="55"/>
        <w:widowControl w:val="0"/>
        <w:adjustRightInd w:val="0"/>
        <w:snapToGrid w:val="0"/>
        <w:spacing w:before="0" w:beforeAutospacing="0" w:after="0" w:afterAutospacing="0" w:line="360" w:lineRule="auto"/>
        <w:jc w:val="right"/>
        <w:rPr>
          <w:rFonts w:hint="eastAsia" w:cs="宋体"/>
          <w:color w:val="auto"/>
          <w:sz w:val="44"/>
          <w:szCs w:val="44"/>
          <w:highlight w:val="none"/>
          <w:bdr w:val="single" w:color="000000" w:sz="4" w:space="0"/>
        </w:rPr>
      </w:pPr>
      <w:r>
        <w:rPr>
          <w:rFonts w:hint="eastAsia" w:cs="宋体"/>
          <w:color w:val="auto"/>
          <w:sz w:val="44"/>
          <w:szCs w:val="44"/>
          <w:highlight w:val="none"/>
          <w:bdr w:val="single" w:color="000000" w:sz="4" w:space="0"/>
        </w:rPr>
        <w:t>正本/副本</w:t>
      </w:r>
    </w:p>
    <w:p>
      <w:pPr>
        <w:adjustRightInd w:val="0"/>
        <w:snapToGrid w:val="0"/>
        <w:spacing w:line="360" w:lineRule="auto"/>
        <w:ind w:firstLine="480"/>
        <w:rPr>
          <w:rFonts w:hint="eastAsia" w:ascii="宋体" w:hAnsi="宋体" w:cs="宋体"/>
          <w:color w:val="auto"/>
          <w:kern w:val="0"/>
          <w:sz w:val="25"/>
          <w:szCs w:val="22"/>
          <w:highlight w:val="none"/>
        </w:rPr>
      </w:pPr>
    </w:p>
    <w:p>
      <w:pPr>
        <w:adjustRightInd w:val="0"/>
        <w:snapToGrid w:val="0"/>
        <w:spacing w:line="360" w:lineRule="auto"/>
        <w:rPr>
          <w:rFonts w:hint="eastAsia" w:ascii="宋体" w:hAnsi="宋体" w:cs="宋体"/>
          <w:color w:val="auto"/>
          <w:kern w:val="0"/>
          <w:szCs w:val="22"/>
          <w:highlight w:val="none"/>
        </w:rPr>
      </w:pPr>
    </w:p>
    <w:p>
      <w:pPr>
        <w:adjustRightInd w:val="0"/>
        <w:snapToGrid w:val="0"/>
        <w:spacing w:beforeLines="50" w:line="360" w:lineRule="auto"/>
        <w:jc w:val="center"/>
        <w:rPr>
          <w:rFonts w:hint="eastAsia" w:ascii="宋体" w:hAnsi="宋体" w:eastAsia="宋体" w:cs="宋体"/>
          <w:color w:val="auto"/>
          <w:kern w:val="0"/>
          <w:sz w:val="28"/>
          <w:szCs w:val="28"/>
          <w:highlight w:val="none"/>
          <w:lang w:eastAsia="zh-CN"/>
        </w:rPr>
      </w:pPr>
      <w:r>
        <w:rPr>
          <w:rFonts w:hint="eastAsia" w:ascii="宋体" w:hAnsi="宋体" w:cs="宋体"/>
          <w:b/>
          <w:color w:val="auto"/>
          <w:kern w:val="0"/>
          <w:sz w:val="48"/>
          <w:szCs w:val="48"/>
          <w:highlight w:val="none"/>
          <w:lang w:eastAsia="zh-CN"/>
        </w:rPr>
        <w:t>二棉厂区绿化工程</w:t>
      </w:r>
    </w:p>
    <w:p>
      <w:pPr>
        <w:adjustRightInd w:val="0"/>
        <w:snapToGrid w:val="0"/>
        <w:spacing w:beforeLines="50" w:line="360" w:lineRule="auto"/>
        <w:jc w:val="center"/>
        <w:rPr>
          <w:rFonts w:hint="eastAsia" w:ascii="宋体" w:hAnsi="宋体" w:cs="宋体"/>
          <w:color w:val="auto"/>
          <w:kern w:val="0"/>
          <w:sz w:val="28"/>
          <w:szCs w:val="28"/>
          <w:highlight w:val="none"/>
        </w:rPr>
      </w:pPr>
    </w:p>
    <w:p>
      <w:pPr>
        <w:adjustRightInd w:val="0"/>
        <w:snapToGrid w:val="0"/>
        <w:spacing w:beforeLines="50" w:line="360" w:lineRule="auto"/>
        <w:jc w:val="center"/>
        <w:rPr>
          <w:rFonts w:hint="eastAsia" w:ascii="宋体" w:hAnsi="宋体" w:cs="宋体"/>
          <w:color w:val="auto"/>
          <w:kern w:val="0"/>
          <w:sz w:val="28"/>
          <w:szCs w:val="28"/>
          <w:highlight w:val="none"/>
        </w:rPr>
      </w:pPr>
    </w:p>
    <w:p>
      <w:pPr>
        <w:adjustRightInd w:val="0"/>
        <w:snapToGrid w:val="0"/>
        <w:spacing w:beforeLines="50" w:line="360" w:lineRule="auto"/>
        <w:jc w:val="center"/>
        <w:rPr>
          <w:rFonts w:hint="eastAsia" w:ascii="宋体" w:hAnsi="宋体" w:cs="宋体"/>
          <w:color w:val="auto"/>
          <w:kern w:val="0"/>
          <w:sz w:val="28"/>
          <w:szCs w:val="28"/>
          <w:highlight w:val="none"/>
        </w:rPr>
      </w:pPr>
    </w:p>
    <w:p>
      <w:pPr>
        <w:adjustRightInd w:val="0"/>
        <w:snapToGrid w:val="0"/>
        <w:spacing w:beforeLines="50" w:line="360" w:lineRule="auto"/>
        <w:jc w:val="center"/>
        <w:rPr>
          <w:rFonts w:hint="eastAsia" w:ascii="宋体" w:hAnsi="宋体" w:cs="宋体"/>
          <w:b/>
          <w:bCs/>
          <w:color w:val="auto"/>
          <w:kern w:val="0"/>
          <w:sz w:val="52"/>
          <w:szCs w:val="44"/>
          <w:highlight w:val="none"/>
        </w:rPr>
      </w:pPr>
      <w:r>
        <w:rPr>
          <w:rFonts w:hint="eastAsia" w:ascii="宋体" w:hAnsi="宋体" w:cs="宋体"/>
          <w:b/>
          <w:bCs/>
          <w:color w:val="auto"/>
          <w:kern w:val="0"/>
          <w:sz w:val="52"/>
          <w:szCs w:val="44"/>
          <w:highlight w:val="none"/>
        </w:rPr>
        <w:t>资格审查文件</w:t>
      </w:r>
    </w:p>
    <w:p>
      <w:pPr>
        <w:adjustRightInd w:val="0"/>
        <w:snapToGrid w:val="0"/>
        <w:spacing w:beforeLines="50" w:line="360" w:lineRule="auto"/>
        <w:jc w:val="center"/>
        <w:rPr>
          <w:rFonts w:hint="eastAsia" w:ascii="宋体" w:hAnsi="宋体" w:cs="宋体"/>
          <w:color w:val="auto"/>
          <w:kern w:val="0"/>
          <w:sz w:val="44"/>
          <w:szCs w:val="44"/>
          <w:highlight w:val="none"/>
        </w:rPr>
      </w:pPr>
    </w:p>
    <w:p>
      <w:pPr>
        <w:adjustRightInd w:val="0"/>
        <w:snapToGrid w:val="0"/>
        <w:spacing w:beforeLines="50" w:line="360" w:lineRule="auto"/>
        <w:jc w:val="center"/>
        <w:rPr>
          <w:rFonts w:hint="eastAsia" w:ascii="宋体" w:hAnsi="宋体" w:cs="宋体"/>
          <w:color w:val="auto"/>
          <w:kern w:val="0"/>
          <w:sz w:val="44"/>
          <w:szCs w:val="44"/>
          <w:highlight w:val="none"/>
        </w:rPr>
      </w:pPr>
    </w:p>
    <w:p>
      <w:pPr>
        <w:adjustRightInd w:val="0"/>
        <w:snapToGrid w:val="0"/>
        <w:spacing w:beforeLines="50" w:line="360" w:lineRule="auto"/>
        <w:rPr>
          <w:rFonts w:hint="eastAsia" w:ascii="宋体" w:hAnsi="宋体" w:cs="宋体"/>
          <w:color w:val="auto"/>
          <w:kern w:val="0"/>
          <w:sz w:val="32"/>
          <w:szCs w:val="32"/>
          <w:highlight w:val="none"/>
        </w:rPr>
      </w:pPr>
    </w:p>
    <w:p>
      <w:pPr>
        <w:adjustRightInd w:val="0"/>
        <w:snapToGrid w:val="0"/>
        <w:spacing w:line="360" w:lineRule="auto"/>
        <w:ind w:firstLine="1546" w:firstLineChars="550"/>
        <w:jc w:val="left"/>
        <w:rPr>
          <w:rFonts w:hint="eastAsia" w:ascii="宋体" w:hAnsi="宋体" w:cs="宋体"/>
          <w:b/>
          <w:color w:val="auto"/>
          <w:kern w:val="0"/>
          <w:sz w:val="28"/>
          <w:szCs w:val="22"/>
          <w:highlight w:val="none"/>
          <w:u w:val="single"/>
        </w:rPr>
      </w:pPr>
      <w:r>
        <w:rPr>
          <w:rFonts w:hint="eastAsia" w:ascii="宋体" w:hAnsi="宋体" w:cs="宋体"/>
          <w:b/>
          <w:color w:val="auto"/>
          <w:kern w:val="0"/>
          <w:sz w:val="28"/>
          <w:szCs w:val="22"/>
          <w:highlight w:val="none"/>
        </w:rPr>
        <w:t>投标人：（盖章）</w:t>
      </w:r>
    </w:p>
    <w:p>
      <w:pPr>
        <w:adjustRightInd w:val="0"/>
        <w:snapToGrid w:val="0"/>
        <w:spacing w:line="360" w:lineRule="auto"/>
        <w:ind w:firstLine="1546" w:firstLineChars="550"/>
        <w:jc w:val="left"/>
        <w:rPr>
          <w:rFonts w:hint="eastAsia" w:ascii="宋体" w:hAnsi="宋体" w:cs="宋体"/>
          <w:b/>
          <w:color w:val="auto"/>
          <w:kern w:val="0"/>
          <w:sz w:val="28"/>
          <w:szCs w:val="22"/>
          <w:highlight w:val="none"/>
          <w:u w:val="single"/>
        </w:rPr>
      </w:pPr>
      <w:r>
        <w:rPr>
          <w:rFonts w:hint="eastAsia" w:ascii="宋体" w:hAnsi="宋体" w:cs="宋体"/>
          <w:b/>
          <w:color w:val="auto"/>
          <w:kern w:val="0"/>
          <w:sz w:val="28"/>
          <w:szCs w:val="22"/>
          <w:highlight w:val="none"/>
        </w:rPr>
        <w:t>法定代表人或其委托代理人：（签字或盖章）</w:t>
      </w:r>
    </w:p>
    <w:p>
      <w:pPr>
        <w:adjustRightInd w:val="0"/>
        <w:snapToGrid w:val="0"/>
        <w:spacing w:line="360" w:lineRule="auto"/>
        <w:ind w:firstLine="1546" w:firstLineChars="550"/>
        <w:jc w:val="left"/>
        <w:rPr>
          <w:rFonts w:hint="eastAsia" w:ascii="宋体" w:hAnsi="宋体" w:cs="宋体"/>
          <w:b/>
          <w:color w:val="auto"/>
          <w:kern w:val="0"/>
          <w:sz w:val="28"/>
          <w:szCs w:val="22"/>
          <w:highlight w:val="none"/>
          <w:u w:val="single"/>
        </w:rPr>
      </w:pPr>
      <w:r>
        <w:rPr>
          <w:rFonts w:hint="eastAsia" w:ascii="宋体" w:hAnsi="宋体" w:cs="宋体"/>
          <w:b/>
          <w:color w:val="auto"/>
          <w:kern w:val="0"/>
          <w:sz w:val="28"/>
          <w:szCs w:val="22"/>
          <w:highlight w:val="none"/>
        </w:rPr>
        <w:t>地址：</w:t>
      </w:r>
    </w:p>
    <w:p>
      <w:pPr>
        <w:adjustRightInd w:val="0"/>
        <w:snapToGrid w:val="0"/>
        <w:spacing w:line="360" w:lineRule="auto"/>
        <w:ind w:firstLine="1546" w:firstLineChars="550"/>
        <w:jc w:val="left"/>
        <w:rPr>
          <w:rFonts w:hint="eastAsia" w:ascii="宋体" w:hAnsi="宋体" w:cs="宋体"/>
          <w:color w:val="auto"/>
          <w:kern w:val="0"/>
          <w:szCs w:val="22"/>
          <w:highlight w:val="none"/>
        </w:rPr>
      </w:pPr>
      <w:r>
        <w:rPr>
          <w:rFonts w:hint="eastAsia" w:ascii="宋体" w:hAnsi="宋体" w:cs="宋体"/>
          <w:b/>
          <w:color w:val="auto"/>
          <w:kern w:val="0"/>
          <w:sz w:val="28"/>
          <w:szCs w:val="22"/>
          <w:highlight w:val="none"/>
        </w:rPr>
        <w:t>日期：202</w:t>
      </w:r>
      <w:r>
        <w:rPr>
          <w:rFonts w:hint="eastAsia" w:ascii="宋体" w:hAnsi="宋体" w:cs="宋体"/>
          <w:b/>
          <w:color w:val="auto"/>
          <w:kern w:val="0"/>
          <w:sz w:val="28"/>
          <w:szCs w:val="22"/>
          <w:highlight w:val="none"/>
          <w:lang w:val="en-US" w:eastAsia="zh-CN"/>
        </w:rPr>
        <w:t>5</w:t>
      </w:r>
      <w:r>
        <w:rPr>
          <w:rFonts w:hint="eastAsia" w:ascii="宋体" w:hAnsi="宋体" w:cs="宋体"/>
          <w:b/>
          <w:color w:val="auto"/>
          <w:kern w:val="0"/>
          <w:sz w:val="28"/>
          <w:szCs w:val="22"/>
          <w:highlight w:val="none"/>
        </w:rPr>
        <w:t>年 月 日</w:t>
      </w:r>
    </w:p>
    <w:p>
      <w:pPr>
        <w:adjustRightInd w:val="0"/>
        <w:snapToGrid w:val="0"/>
        <w:spacing w:line="360" w:lineRule="auto"/>
        <w:rPr>
          <w:rFonts w:hint="eastAsia" w:ascii="宋体" w:hAnsi="宋体" w:cs="宋体"/>
          <w:color w:val="auto"/>
          <w:kern w:val="0"/>
          <w:highlight w:val="none"/>
        </w:rPr>
      </w:pPr>
      <w:bookmarkStart w:id="62" w:name="_Toc48207470"/>
      <w:r>
        <w:rPr>
          <w:rFonts w:hint="eastAsia" w:ascii="宋体" w:hAnsi="宋体" w:cs="宋体"/>
          <w:color w:val="auto"/>
          <w:kern w:val="0"/>
          <w:highlight w:val="none"/>
        </w:rPr>
        <w:br w:type="page"/>
      </w:r>
    </w:p>
    <w:p>
      <w:pPr>
        <w:pStyle w:val="4"/>
        <w:adjustRightInd w:val="0"/>
        <w:snapToGrid w:val="0"/>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t>一、法定代表人身份证明</w:t>
      </w:r>
      <w:bookmarkEnd w:id="62"/>
    </w:p>
    <w:p>
      <w:pPr>
        <w:adjustRightInd w:val="0"/>
        <w:snapToGrid w:val="0"/>
        <w:spacing w:line="360" w:lineRule="auto"/>
        <w:jc w:val="center"/>
        <w:textAlignment w:val="baseline"/>
        <w:rPr>
          <w:rFonts w:hint="eastAsia" w:ascii="宋体" w:hAnsi="宋体" w:cs="宋体"/>
          <w:color w:val="auto"/>
          <w:kern w:val="0"/>
          <w:highlight w:val="none"/>
        </w:rPr>
      </w:pPr>
    </w:p>
    <w:p>
      <w:pPr>
        <w:adjustRightInd w:val="0"/>
        <w:snapToGrid w:val="0"/>
        <w:spacing w:line="360" w:lineRule="auto"/>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投标人单位名称：</w:t>
      </w:r>
      <w:r>
        <w:rPr>
          <w:rFonts w:hint="eastAsia" w:ascii="宋体" w:hAnsi="宋体" w:cs="宋体"/>
          <w:color w:val="auto"/>
          <w:kern w:val="0"/>
          <w:sz w:val="24"/>
          <w:highlight w:val="none"/>
          <w:u w:val="single"/>
        </w:rPr>
        <w:t xml:space="preserve">                  </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投标人单位地址：</w:t>
      </w:r>
      <w:r>
        <w:rPr>
          <w:rFonts w:hint="eastAsia" w:ascii="宋体" w:hAnsi="宋体" w:cs="宋体"/>
          <w:color w:val="auto"/>
          <w:kern w:val="0"/>
          <w:sz w:val="24"/>
          <w:highlight w:val="none"/>
          <w:u w:val="single"/>
        </w:rPr>
        <w:t xml:space="preserve">                  </w:t>
      </w:r>
    </w:p>
    <w:p>
      <w:pPr>
        <w:adjustRightInd w:val="0"/>
        <w:snapToGrid w:val="0"/>
        <w:spacing w:line="360" w:lineRule="auto"/>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p>
    <w:p>
      <w:pPr>
        <w:adjustRightInd w:val="0"/>
        <w:snapToGrid w:val="0"/>
        <w:spacing w:line="360" w:lineRule="auto"/>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年龄：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职务：</w:t>
      </w:r>
      <w:r>
        <w:rPr>
          <w:rFonts w:hint="eastAsia" w:ascii="宋体" w:hAnsi="宋体" w:cs="宋体"/>
          <w:color w:val="auto"/>
          <w:kern w:val="0"/>
          <w:sz w:val="24"/>
          <w:highlight w:val="none"/>
          <w:u w:val="single"/>
        </w:rPr>
        <w:t xml:space="preserve">          </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(投标人单位名称)的法定代表人。</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pPr>
        <w:pStyle w:val="8"/>
        <w:snapToGrid w:val="0"/>
        <w:spacing w:line="360" w:lineRule="auto"/>
        <w:ind w:firstLine="0"/>
        <w:jc w:val="left"/>
        <w:rPr>
          <w:rFonts w:hint="eastAsia" w:ascii="宋体" w:hAnsi="宋体" w:cs="宋体"/>
          <w:b/>
          <w:bCs/>
          <w:color w:val="auto"/>
          <w:highlight w:val="none"/>
        </w:rPr>
      </w:pPr>
    </w:p>
    <w:p>
      <w:pPr>
        <w:pStyle w:val="8"/>
        <w:snapToGrid w:val="0"/>
        <w:spacing w:line="360" w:lineRule="auto"/>
        <w:ind w:firstLineChars="200"/>
        <w:jc w:val="left"/>
        <w:rPr>
          <w:rFonts w:hint="eastAsia" w:ascii="宋体" w:hAnsi="宋体" w:cs="宋体"/>
          <w:b/>
          <w:bCs/>
          <w:color w:val="auto"/>
          <w:highlight w:val="none"/>
        </w:rPr>
      </w:pPr>
      <w:r>
        <w:rPr>
          <w:rFonts w:hint="eastAsia" w:ascii="宋体" w:hAnsi="宋体" w:cs="宋体"/>
          <w:b/>
          <w:bCs/>
          <w:color w:val="auto"/>
          <w:highlight w:val="none"/>
        </w:rPr>
        <w:t>法定代表人身份证复印件</w:t>
      </w:r>
    </w:p>
    <w:p>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（粘贴此处）</w:t>
      </w:r>
    </w:p>
    <w:p>
      <w:pPr>
        <w:adjustRightInd w:val="0"/>
        <w:snapToGrid w:val="0"/>
        <w:spacing w:line="360" w:lineRule="auto"/>
        <w:ind w:firstLine="2280" w:firstLineChars="950"/>
        <w:rPr>
          <w:rFonts w:hint="eastAsia" w:ascii="宋体" w:hAnsi="宋体" w:cs="宋体"/>
          <w:color w:val="auto"/>
          <w:kern w:val="0"/>
          <w:sz w:val="24"/>
          <w:highlight w:val="none"/>
        </w:rPr>
      </w:pPr>
    </w:p>
    <w:p>
      <w:pPr>
        <w:adjustRightInd w:val="0"/>
        <w:snapToGrid w:val="0"/>
        <w:spacing w:line="360" w:lineRule="auto"/>
        <w:rPr>
          <w:rFonts w:hint="eastAsia" w:ascii="宋体" w:hAnsi="宋体" w:cs="宋体"/>
          <w:b/>
          <w:bCs/>
          <w:color w:val="auto"/>
          <w:kern w:val="0"/>
          <w:sz w:val="24"/>
          <w:highlight w:val="none"/>
        </w:rPr>
      </w:pPr>
    </w:p>
    <w:p>
      <w:pPr>
        <w:adjustRightInd w:val="0"/>
        <w:snapToGrid w:val="0"/>
        <w:spacing w:line="360" w:lineRule="auto"/>
        <w:ind w:firstLine="3840" w:firstLineChars="1600"/>
        <w:textAlignment w:val="baseline"/>
        <w:rPr>
          <w:rFonts w:hint="eastAsia" w:ascii="宋体" w:hAnsi="宋体" w:cs="宋体"/>
          <w:color w:val="auto"/>
          <w:kern w:val="0"/>
          <w:sz w:val="24"/>
          <w:highlight w:val="none"/>
        </w:rPr>
      </w:pPr>
    </w:p>
    <w:p>
      <w:pPr>
        <w:adjustRightInd w:val="0"/>
        <w:snapToGrid w:val="0"/>
        <w:spacing w:line="360" w:lineRule="auto"/>
        <w:ind w:firstLine="3840" w:firstLineChars="1600"/>
        <w:textAlignment w:val="baseline"/>
        <w:rPr>
          <w:rFonts w:hint="eastAsia" w:ascii="宋体" w:hAnsi="宋体" w:cs="宋体"/>
          <w:color w:val="auto"/>
          <w:kern w:val="0"/>
          <w:sz w:val="24"/>
          <w:highlight w:val="none"/>
        </w:rPr>
      </w:pPr>
    </w:p>
    <w:p>
      <w:pPr>
        <w:adjustRightInd w:val="0"/>
        <w:snapToGrid w:val="0"/>
        <w:spacing w:line="360" w:lineRule="auto"/>
        <w:ind w:firstLine="3840" w:firstLineChars="16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投标人：(盖单位章)</w:t>
      </w:r>
    </w:p>
    <w:p>
      <w:pPr>
        <w:adjustRightInd w:val="0"/>
        <w:snapToGrid w:val="0"/>
        <w:spacing w:line="360" w:lineRule="auto"/>
        <w:ind w:firstLine="3840" w:firstLineChars="16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日期：  </w:t>
      </w:r>
      <w:r>
        <w:rPr>
          <w:rFonts w:hint="eastAsia" w:ascii="宋体" w:hAnsi="宋体" w:cs="宋体"/>
          <w:color w:val="auto"/>
          <w:kern w:val="0"/>
          <w:sz w:val="24"/>
          <w:highlight w:val="none"/>
          <w:u w:val="single"/>
        </w:rPr>
        <w:t>年  月  日</w:t>
      </w:r>
    </w:p>
    <w:p>
      <w:pPr>
        <w:adjustRightInd w:val="0"/>
        <w:snapToGrid w:val="0"/>
        <w:spacing w:line="360" w:lineRule="auto"/>
        <w:textAlignment w:val="baseline"/>
        <w:rPr>
          <w:rFonts w:hint="eastAsia" w:ascii="宋体" w:hAnsi="宋体" w:cs="宋体"/>
          <w:color w:val="auto"/>
          <w:kern w:val="0"/>
          <w:highlight w:val="none"/>
        </w:rPr>
      </w:pPr>
    </w:p>
    <w:p>
      <w:pPr>
        <w:adjustRightInd w:val="0"/>
        <w:snapToGrid w:val="0"/>
        <w:spacing w:line="360" w:lineRule="auto"/>
        <w:textAlignment w:val="baseline"/>
        <w:rPr>
          <w:rFonts w:hint="eastAsia" w:ascii="宋体" w:hAnsi="宋体" w:cs="宋体"/>
          <w:color w:val="auto"/>
          <w:kern w:val="0"/>
          <w:highlight w:val="none"/>
        </w:rPr>
      </w:pPr>
    </w:p>
    <w:p>
      <w:pPr>
        <w:adjustRightInd w:val="0"/>
        <w:snapToGrid w:val="0"/>
        <w:spacing w:line="360" w:lineRule="auto"/>
        <w:jc w:val="center"/>
        <w:textAlignment w:val="baseline"/>
        <w:rPr>
          <w:rFonts w:hint="eastAsia" w:ascii="宋体" w:hAnsi="宋体" w:cs="宋体"/>
          <w:color w:val="auto"/>
          <w:kern w:val="0"/>
          <w:highlight w:val="none"/>
        </w:rPr>
      </w:pPr>
    </w:p>
    <w:p>
      <w:pPr>
        <w:adjustRightInd w:val="0"/>
        <w:snapToGrid w:val="0"/>
        <w:spacing w:line="360" w:lineRule="auto"/>
        <w:jc w:val="center"/>
        <w:textAlignment w:val="baseline"/>
        <w:rPr>
          <w:rFonts w:hint="eastAsia" w:ascii="宋体" w:hAnsi="宋体" w:cs="宋体"/>
          <w:color w:val="auto"/>
          <w:kern w:val="0"/>
          <w:highlight w:val="none"/>
        </w:rPr>
      </w:pPr>
    </w:p>
    <w:p>
      <w:pPr>
        <w:pStyle w:val="4"/>
        <w:adjustRightInd w:val="0"/>
        <w:snapToGrid w:val="0"/>
        <w:rPr>
          <w:rFonts w:hint="eastAsia" w:ascii="宋体" w:hAnsi="宋体" w:cs="宋体"/>
          <w:color w:val="auto"/>
          <w:kern w:val="0"/>
          <w:sz w:val="32"/>
          <w:szCs w:val="32"/>
          <w:highlight w:val="none"/>
        </w:rPr>
      </w:pPr>
      <w:r>
        <w:rPr>
          <w:rFonts w:hint="eastAsia" w:ascii="宋体" w:hAnsi="宋体" w:cs="宋体"/>
          <w:color w:val="auto"/>
          <w:kern w:val="0"/>
          <w:highlight w:val="none"/>
        </w:rPr>
        <w:br w:type="page"/>
      </w:r>
      <w:bookmarkStart w:id="63" w:name="_Toc48207471"/>
      <w:r>
        <w:rPr>
          <w:rFonts w:hint="eastAsia" w:ascii="宋体" w:hAnsi="宋体" w:cs="宋体"/>
          <w:color w:val="auto"/>
          <w:kern w:val="0"/>
          <w:sz w:val="32"/>
          <w:szCs w:val="32"/>
          <w:highlight w:val="none"/>
        </w:rPr>
        <w:t>二、授权委托书</w:t>
      </w:r>
      <w:bookmarkEnd w:id="63"/>
    </w:p>
    <w:p>
      <w:pPr>
        <w:adjustRightInd w:val="0"/>
        <w:snapToGrid w:val="0"/>
        <w:spacing w:line="360" w:lineRule="auto"/>
        <w:ind w:firstLine="480"/>
        <w:textAlignment w:val="baseline"/>
        <w:rPr>
          <w:rFonts w:hint="eastAsia" w:ascii="宋体" w:hAnsi="宋体" w:cs="宋体"/>
          <w:color w:val="auto"/>
          <w:kern w:val="0"/>
          <w:highlight w:val="none"/>
        </w:rPr>
      </w:pP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本人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(姓名)系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(投标人单位名称)的法定代表人，现委托</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(姓名)（身份证号：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）为我方代理人。代理人根据授权，以我方名义签署、澄清、说明、补正、递交、撤回、修改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（项目名称）施工投标文件，签订合同和处理有关事宜，其法律后果由我方承担。</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委托期限：</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代理人无转委托权。</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部门：</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职务：</w:t>
      </w:r>
      <w:r>
        <w:rPr>
          <w:rFonts w:hint="eastAsia" w:ascii="宋体" w:hAnsi="宋体" w:cs="宋体"/>
          <w:color w:val="auto"/>
          <w:kern w:val="0"/>
          <w:sz w:val="24"/>
          <w:highlight w:val="none"/>
          <w:u w:val="single"/>
        </w:rPr>
        <w:t xml:space="preserve">          </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法定代表人身份证复印件</w:t>
      </w: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（粘贴此处）</w:t>
      </w: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代理人身份证复印件</w:t>
      </w: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（粘贴此处）</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投标人：(盖单位章)</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法定代表人：(签字或印章)</w:t>
      </w:r>
    </w:p>
    <w:p>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日期：  年  月  日</w:t>
      </w:r>
    </w:p>
    <w:p>
      <w:pPr>
        <w:adjustRightInd w:val="0"/>
        <w:snapToGrid w:val="0"/>
        <w:spacing w:line="360" w:lineRule="auto"/>
        <w:textAlignment w:val="baseline"/>
        <w:rPr>
          <w:rFonts w:hint="eastAsia" w:ascii="宋体" w:hAnsi="宋体" w:cs="宋体"/>
          <w:b/>
          <w:color w:val="auto"/>
          <w:kern w:val="0"/>
          <w:highlight w:val="none"/>
        </w:rPr>
      </w:pPr>
    </w:p>
    <w:p>
      <w:pPr>
        <w:adjustRightInd w:val="0"/>
        <w:snapToGrid w:val="0"/>
        <w:spacing w:line="360" w:lineRule="auto"/>
        <w:textAlignment w:val="baseline"/>
        <w:rPr>
          <w:rFonts w:hint="eastAsia" w:ascii="宋体" w:hAnsi="宋体" w:cs="宋体"/>
          <w:b/>
          <w:color w:val="auto"/>
          <w:kern w:val="0"/>
          <w:highlight w:val="none"/>
        </w:rPr>
      </w:pPr>
    </w:p>
    <w:p>
      <w:pPr>
        <w:pStyle w:val="4"/>
        <w:adjustRightInd w:val="0"/>
        <w:snapToGrid w:val="0"/>
        <w:rPr>
          <w:rFonts w:hint="eastAsia" w:ascii="宋体" w:hAnsi="宋体" w:cs="宋体"/>
          <w:color w:val="auto"/>
          <w:kern w:val="0"/>
          <w:sz w:val="32"/>
          <w:szCs w:val="32"/>
          <w:highlight w:val="none"/>
        </w:rPr>
      </w:pPr>
      <w:bookmarkStart w:id="64" w:name="_Toc48207472"/>
      <w:r>
        <w:rPr>
          <w:rFonts w:hint="eastAsia" w:ascii="宋体" w:hAnsi="宋体" w:cs="宋体"/>
          <w:color w:val="auto"/>
          <w:kern w:val="0"/>
          <w:sz w:val="32"/>
          <w:szCs w:val="32"/>
          <w:highlight w:val="none"/>
        </w:rPr>
        <w:br w:type="page"/>
      </w:r>
      <w:r>
        <w:rPr>
          <w:rFonts w:hint="eastAsia" w:ascii="宋体" w:hAnsi="宋体" w:cs="宋体"/>
          <w:color w:val="auto"/>
          <w:kern w:val="0"/>
          <w:sz w:val="32"/>
          <w:szCs w:val="32"/>
          <w:highlight w:val="none"/>
        </w:rPr>
        <w:t>三、投标人一般情况</w:t>
      </w:r>
      <w:bookmarkEnd w:id="64"/>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投标人名称</w:t>
            </w:r>
          </w:p>
        </w:tc>
        <w:tc>
          <w:tcPr>
            <w:tcW w:w="7973" w:type="dxa"/>
            <w:gridSpan w:val="6"/>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3703" w:type="dxa"/>
            <w:gridSpan w:val="3"/>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联系方式</w:t>
            </w:r>
          </w:p>
        </w:tc>
        <w:tc>
          <w:tcPr>
            <w:tcW w:w="1017"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联系人</w:t>
            </w:r>
          </w:p>
        </w:tc>
        <w:tc>
          <w:tcPr>
            <w:tcW w:w="2027"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tc>
        <w:tc>
          <w:tcPr>
            <w:tcW w:w="3703" w:type="dxa"/>
            <w:gridSpan w:val="3"/>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pPr>
              <w:adjustRightInd w:val="0"/>
              <w:snapToGrid w:val="0"/>
              <w:spacing w:line="360" w:lineRule="auto"/>
              <w:jc w:val="center"/>
              <w:rPr>
                <w:rFonts w:hint="eastAsia" w:ascii="宋体" w:hAnsi="宋体" w:cs="宋体"/>
                <w:color w:val="auto"/>
                <w:kern w:val="0"/>
                <w:sz w:val="24"/>
                <w:highlight w:val="none"/>
              </w:rPr>
            </w:pPr>
          </w:p>
        </w:tc>
        <w:tc>
          <w:tcPr>
            <w:tcW w:w="1017"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2027"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网址</w:t>
            </w:r>
          </w:p>
        </w:tc>
        <w:tc>
          <w:tcPr>
            <w:tcW w:w="3703" w:type="dxa"/>
            <w:gridSpan w:val="3"/>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组织结构</w:t>
            </w:r>
          </w:p>
        </w:tc>
        <w:tc>
          <w:tcPr>
            <w:tcW w:w="7973" w:type="dxa"/>
            <w:gridSpan w:val="6"/>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017"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027"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技术职称</w:t>
            </w: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078"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tc>
        <w:tc>
          <w:tcPr>
            <w:tcW w:w="1203" w:type="dxa"/>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技术负责人</w:t>
            </w:r>
          </w:p>
        </w:tc>
        <w:tc>
          <w:tcPr>
            <w:tcW w:w="1017"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027"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技术职称</w:t>
            </w: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1078"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tc>
        <w:tc>
          <w:tcPr>
            <w:tcW w:w="1203" w:type="dxa"/>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员工人数</w:t>
            </w: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p>
        </w:tc>
        <w:tc>
          <w:tcPr>
            <w:tcW w:w="2281"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企业资质</w:t>
            </w:r>
          </w:p>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等级</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Merge w:val="restart"/>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其中</w:t>
            </w: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项目经理</w:t>
            </w:r>
          </w:p>
        </w:tc>
        <w:tc>
          <w:tcPr>
            <w:tcW w:w="2281"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营业执照号</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高级职称</w:t>
            </w:r>
          </w:p>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w:t>
            </w:r>
          </w:p>
        </w:tc>
        <w:tc>
          <w:tcPr>
            <w:tcW w:w="2281"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注册资金</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中级职称</w:t>
            </w:r>
          </w:p>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w:t>
            </w:r>
          </w:p>
        </w:tc>
        <w:tc>
          <w:tcPr>
            <w:tcW w:w="2281"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开户银行</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初级职称</w:t>
            </w:r>
          </w:p>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w:t>
            </w:r>
          </w:p>
        </w:tc>
        <w:tc>
          <w:tcPr>
            <w:tcW w:w="2281"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账号</w:t>
            </w:r>
          </w:p>
        </w:tc>
        <w:tc>
          <w:tcPr>
            <w:tcW w:w="3044"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技工</w:t>
            </w:r>
          </w:p>
        </w:tc>
        <w:tc>
          <w:tcPr>
            <w:tcW w:w="2281" w:type="dxa"/>
            <w:gridSpan w:val="2"/>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经营范围</w:t>
            </w:r>
          </w:p>
        </w:tc>
        <w:tc>
          <w:tcPr>
            <w:tcW w:w="7973" w:type="dxa"/>
            <w:gridSpan w:val="6"/>
            <w:vAlign w:val="center"/>
          </w:tcPr>
          <w:p>
            <w:pPr>
              <w:adjustRightInd w:val="0"/>
              <w:snapToGrid w:val="0"/>
              <w:spacing w:line="360" w:lineRule="auto"/>
              <w:jc w:val="center"/>
              <w:rPr>
                <w:rFonts w:hint="eastAsia" w:ascii="宋体" w:hAnsi="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备注</w:t>
            </w:r>
          </w:p>
        </w:tc>
        <w:tc>
          <w:tcPr>
            <w:tcW w:w="7973" w:type="dxa"/>
            <w:gridSpan w:val="6"/>
            <w:vAlign w:val="center"/>
          </w:tcPr>
          <w:p>
            <w:pPr>
              <w:adjustRightInd w:val="0"/>
              <w:snapToGrid w:val="0"/>
              <w:spacing w:line="360" w:lineRule="auto"/>
              <w:jc w:val="center"/>
              <w:rPr>
                <w:rFonts w:hint="eastAsia" w:ascii="宋体" w:hAnsi="宋体" w:cs="宋体"/>
                <w:color w:val="auto"/>
                <w:kern w:val="0"/>
                <w:sz w:val="24"/>
                <w:highlight w:val="none"/>
              </w:rPr>
            </w:pPr>
          </w:p>
        </w:tc>
      </w:tr>
    </w:tbl>
    <w:p>
      <w:pPr>
        <w:pStyle w:val="282"/>
        <w:widowControl w:val="0"/>
        <w:adjustRightInd w:val="0"/>
        <w:snapToGrid w:val="0"/>
        <w:spacing w:beforeLines="50" w:line="360" w:lineRule="auto"/>
        <w:rPr>
          <w:rFonts w:hint="eastAsia" w:ascii="宋体" w:hAnsi="宋体" w:cs="宋体"/>
          <w:b/>
          <w:bCs/>
          <w:color w:val="auto"/>
          <w:highlight w:val="none"/>
        </w:rPr>
      </w:pPr>
      <w:r>
        <w:rPr>
          <w:rFonts w:hint="eastAsia" w:ascii="宋体" w:hAnsi="宋体" w:cs="宋体"/>
          <w:b/>
          <w:bCs/>
          <w:color w:val="auto"/>
          <w:highlight w:val="none"/>
        </w:rPr>
        <w:t>附企业营业执照、资质证书、安全生产许可证等材料复印件并加盖公章</w:t>
      </w:r>
    </w:p>
    <w:p>
      <w:pPr>
        <w:adjustRightInd w:val="0"/>
        <w:snapToGrid w:val="0"/>
        <w:spacing w:line="360" w:lineRule="auto"/>
        <w:ind w:firstLine="420"/>
        <w:rPr>
          <w:rFonts w:hint="eastAsia" w:ascii="宋体" w:hAnsi="宋体" w:cs="宋体"/>
          <w:color w:val="auto"/>
          <w:kern w:val="0"/>
          <w:sz w:val="32"/>
          <w:szCs w:val="32"/>
          <w:highlight w:val="none"/>
        </w:rPr>
      </w:pPr>
    </w:p>
    <w:p>
      <w:pPr>
        <w:adjustRightInd w:val="0"/>
        <w:snapToGrid w:val="0"/>
        <w:spacing w:line="360" w:lineRule="auto"/>
        <w:jc w:val="left"/>
        <w:rPr>
          <w:rFonts w:hint="eastAsia" w:ascii="宋体" w:hAnsi="宋体" w:cs="宋体"/>
          <w:b/>
          <w:bCs/>
          <w:color w:val="auto"/>
          <w:kern w:val="0"/>
          <w:sz w:val="28"/>
          <w:szCs w:val="30"/>
          <w:highlight w:val="none"/>
        </w:rPr>
      </w:pPr>
    </w:p>
    <w:p>
      <w:pPr>
        <w:pStyle w:val="4"/>
        <w:adjustRightInd w:val="0"/>
        <w:snapToGrid w:val="0"/>
        <w:rPr>
          <w:rFonts w:hint="eastAsia" w:ascii="宋体" w:hAnsi="宋体" w:cs="宋体"/>
          <w:b w:val="0"/>
          <w:color w:val="auto"/>
          <w:kern w:val="0"/>
          <w:sz w:val="32"/>
          <w:szCs w:val="32"/>
          <w:highlight w:val="none"/>
        </w:rPr>
      </w:pPr>
      <w:bookmarkStart w:id="65" w:name="_Toc48207473"/>
      <w:r>
        <w:rPr>
          <w:rFonts w:hint="eastAsia" w:ascii="宋体" w:hAnsi="宋体" w:cs="宋体"/>
          <w:color w:val="auto"/>
          <w:kern w:val="0"/>
          <w:sz w:val="32"/>
          <w:szCs w:val="32"/>
          <w:highlight w:val="none"/>
        </w:rPr>
        <w:br w:type="page"/>
      </w:r>
      <w:r>
        <w:rPr>
          <w:rFonts w:hint="eastAsia" w:ascii="宋体" w:hAnsi="宋体" w:cs="宋体"/>
          <w:color w:val="auto"/>
          <w:kern w:val="0"/>
          <w:sz w:val="32"/>
          <w:szCs w:val="32"/>
          <w:highlight w:val="none"/>
        </w:rPr>
        <w:t>四、</w:t>
      </w:r>
      <w:bookmarkEnd w:id="65"/>
      <w:bookmarkStart w:id="66" w:name="_Toc344387381"/>
      <w:bookmarkStart w:id="67" w:name="_Toc48207480"/>
      <w:r>
        <w:rPr>
          <w:rFonts w:hint="eastAsia" w:ascii="宋体" w:hAnsi="宋体" w:cs="宋体"/>
          <w:bCs w:val="0"/>
          <w:color w:val="auto"/>
          <w:kern w:val="0"/>
          <w:sz w:val="32"/>
          <w:szCs w:val="32"/>
          <w:highlight w:val="none"/>
        </w:rPr>
        <w:t>不拖欠农民工工资的承诺书</w:t>
      </w:r>
    </w:p>
    <w:p>
      <w:pPr>
        <w:adjustRightInd w:val="0"/>
        <w:snapToGrid w:val="0"/>
        <w:spacing w:line="360" w:lineRule="auto"/>
        <w:contextualSpacing/>
        <w:rPr>
          <w:rFonts w:hint="eastAsia" w:ascii="宋体" w:hAnsi="宋体" w:eastAsia="宋体" w:cs="宋体"/>
          <w:bCs/>
          <w:color w:val="auto"/>
          <w:kern w:val="0"/>
          <w:sz w:val="24"/>
          <w:highlight w:val="none"/>
          <w:u w:val="single"/>
          <w:lang w:eastAsia="zh-CN"/>
        </w:rPr>
      </w:pPr>
      <w:r>
        <w:rPr>
          <w:rFonts w:hint="eastAsia" w:ascii="宋体" w:hAnsi="宋体" w:cs="宋体"/>
          <w:bCs/>
          <w:color w:val="auto"/>
          <w:kern w:val="0"/>
          <w:sz w:val="24"/>
          <w:highlight w:val="none"/>
          <w:u w:val="single"/>
        </w:rPr>
        <w:t>致：</w:t>
      </w:r>
      <w:r>
        <w:rPr>
          <w:rFonts w:hint="eastAsia" w:ascii="宋体" w:hAnsi="宋体" w:cs="宋体"/>
          <w:bCs/>
          <w:color w:val="auto"/>
          <w:kern w:val="0"/>
          <w:sz w:val="24"/>
          <w:highlight w:val="none"/>
          <w:u w:val="single"/>
          <w:lang w:eastAsia="zh-CN"/>
        </w:rPr>
        <w:t>江苏南通二棉有限公司</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为保护农民工的合法权益，不拖欠农民工工资，本人</w:t>
      </w:r>
      <w:r>
        <w:rPr>
          <w:rFonts w:hint="eastAsia" w:ascii="宋体" w:hAnsi="宋体" w:cs="宋体"/>
          <w:color w:val="auto"/>
          <w:kern w:val="0"/>
          <w:sz w:val="24"/>
          <w:highlight w:val="none"/>
          <w:u w:val="single"/>
        </w:rPr>
        <w:t>(法定代表人姓名)</w:t>
      </w:r>
      <w:r>
        <w:rPr>
          <w:rFonts w:hint="eastAsia" w:ascii="宋体" w:hAnsi="宋体" w:cs="宋体"/>
          <w:color w:val="auto"/>
          <w:kern w:val="0"/>
          <w:sz w:val="24"/>
          <w:highlight w:val="none"/>
        </w:rPr>
        <w:t>以</w:t>
      </w:r>
      <w:r>
        <w:rPr>
          <w:rFonts w:hint="eastAsia" w:ascii="宋体" w:hAnsi="宋体" w:cs="宋体"/>
          <w:color w:val="auto"/>
          <w:kern w:val="0"/>
          <w:sz w:val="24"/>
          <w:highlight w:val="none"/>
          <w:u w:val="single"/>
        </w:rPr>
        <w:t>(投标人全称)</w:t>
      </w:r>
      <w:r>
        <w:rPr>
          <w:rFonts w:hint="eastAsia" w:ascii="宋体" w:hAnsi="宋体" w:cs="宋体"/>
          <w:color w:val="auto"/>
          <w:kern w:val="0"/>
          <w:sz w:val="24"/>
          <w:highlight w:val="none"/>
        </w:rPr>
        <w:t>法定代表人的资格，郑重承诺：</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本单位承诺</w:t>
      </w:r>
      <w:r>
        <w:rPr>
          <w:rFonts w:hint="eastAsia" w:ascii="宋体" w:hAnsi="宋体" w:cs="宋体"/>
          <w:color w:val="auto"/>
          <w:kern w:val="0"/>
          <w:sz w:val="24"/>
          <w:highlight w:val="none"/>
          <w:u w:val="single"/>
        </w:rPr>
        <w:t>(项目名称)</w:t>
      </w:r>
      <w:r>
        <w:rPr>
          <w:rFonts w:hint="eastAsia" w:ascii="宋体" w:hAnsi="宋体" w:cs="宋体"/>
          <w:color w:val="auto"/>
          <w:kern w:val="0"/>
          <w:sz w:val="24"/>
          <w:highlight w:val="none"/>
        </w:rPr>
        <w:t>工程，需要使用农民工时，将保证做到：</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1.按照《中华人民共和国国务院令》第724号、《保障农民工工资支付条例》、《中华人民共和国劳动法》、规定依法雇佣和使用农民工。</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2.按要求设立农民工工资专用账户，专项用于支付该工程农民工工资。</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4.严格遵守国家和地方关于农民工工资的其他有关规定。</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6.如因违反上述承诺引起的相关法律责任，我公司自行承担。</w:t>
      </w:r>
    </w:p>
    <w:p>
      <w:pPr>
        <w:adjustRightInd w:val="0"/>
        <w:snapToGrid w:val="0"/>
        <w:spacing w:line="360" w:lineRule="auto"/>
        <w:ind w:firstLine="480" w:firstLineChars="200"/>
        <w:contextualSpacing/>
        <w:rPr>
          <w:rFonts w:hint="eastAsia" w:ascii="宋体" w:hAnsi="宋体" w:cs="宋体"/>
          <w:color w:val="auto"/>
          <w:kern w:val="0"/>
          <w:sz w:val="24"/>
          <w:highlight w:val="none"/>
        </w:rPr>
      </w:pPr>
    </w:p>
    <w:p>
      <w:pPr>
        <w:adjustRightInd w:val="0"/>
        <w:snapToGrid w:val="0"/>
        <w:spacing w:line="360" w:lineRule="auto"/>
        <w:ind w:firstLine="482" w:firstLineChars="200"/>
        <w:contextualSpacing/>
        <w:rPr>
          <w:rFonts w:hint="eastAsia" w:ascii="宋体" w:hAnsi="宋体" w:cs="宋体"/>
          <w:b/>
          <w:color w:val="auto"/>
          <w:kern w:val="0"/>
          <w:sz w:val="24"/>
          <w:highlight w:val="none"/>
        </w:rPr>
      </w:pPr>
    </w:p>
    <w:p>
      <w:pPr>
        <w:adjustRightInd w:val="0"/>
        <w:snapToGrid w:val="0"/>
        <w:spacing w:line="360" w:lineRule="auto"/>
        <w:ind w:firstLine="482" w:firstLineChars="200"/>
        <w:contextualSpacing/>
        <w:rPr>
          <w:rFonts w:hint="eastAsia" w:ascii="宋体" w:hAnsi="宋体" w:cs="宋体"/>
          <w:b/>
          <w:color w:val="auto"/>
          <w:kern w:val="0"/>
          <w:sz w:val="24"/>
          <w:highlight w:val="none"/>
        </w:rPr>
      </w:pPr>
    </w:p>
    <w:p>
      <w:pPr>
        <w:adjustRightInd w:val="0"/>
        <w:snapToGrid w:val="0"/>
        <w:spacing w:line="360" w:lineRule="auto"/>
        <w:ind w:firstLine="482" w:firstLineChars="200"/>
        <w:contextualSpacing/>
        <w:rPr>
          <w:rFonts w:hint="eastAsia" w:ascii="宋体" w:hAnsi="宋体" w:cs="宋体"/>
          <w:b/>
          <w:color w:val="auto"/>
          <w:kern w:val="0"/>
          <w:sz w:val="24"/>
          <w:highlight w:val="none"/>
        </w:rPr>
      </w:pPr>
      <w:r>
        <w:rPr>
          <w:rFonts w:hint="eastAsia" w:ascii="宋体" w:hAnsi="宋体" w:cs="宋体"/>
          <w:b/>
          <w:color w:val="auto"/>
          <w:kern w:val="0"/>
          <w:sz w:val="24"/>
          <w:highlight w:val="none"/>
        </w:rPr>
        <w:t>单  位：(全称)(盖章)</w:t>
      </w:r>
    </w:p>
    <w:p>
      <w:pPr>
        <w:adjustRightInd w:val="0"/>
        <w:snapToGrid w:val="0"/>
        <w:spacing w:line="360" w:lineRule="auto"/>
        <w:ind w:firstLine="482" w:firstLineChars="200"/>
        <w:contextualSpacing/>
        <w:rPr>
          <w:rFonts w:hint="eastAsia" w:ascii="宋体" w:hAnsi="宋体" w:cs="宋体"/>
          <w:b/>
          <w:color w:val="auto"/>
          <w:kern w:val="0"/>
          <w:sz w:val="24"/>
          <w:highlight w:val="none"/>
        </w:rPr>
      </w:pPr>
      <w:r>
        <w:rPr>
          <w:rFonts w:hint="eastAsia" w:ascii="宋体" w:hAnsi="宋体" w:cs="宋体"/>
          <w:b/>
          <w:color w:val="auto"/>
          <w:kern w:val="0"/>
          <w:sz w:val="24"/>
          <w:highlight w:val="none"/>
        </w:rPr>
        <w:t>法定代表人：(签字或盖章)</w:t>
      </w:r>
    </w:p>
    <w:p>
      <w:pPr>
        <w:adjustRightInd w:val="0"/>
        <w:snapToGrid w:val="0"/>
        <w:spacing w:line="360" w:lineRule="auto"/>
        <w:ind w:firstLine="482" w:firstLineChars="200"/>
        <w:contextualSpacing/>
        <w:rPr>
          <w:rFonts w:hint="eastAsia" w:ascii="宋体" w:hAnsi="宋体" w:cs="宋体"/>
          <w:b/>
          <w:color w:val="auto"/>
          <w:kern w:val="0"/>
          <w:sz w:val="24"/>
          <w:highlight w:val="none"/>
        </w:rPr>
      </w:pPr>
      <w:r>
        <w:rPr>
          <w:rFonts w:hint="eastAsia" w:ascii="宋体" w:hAnsi="宋体" w:cs="宋体"/>
          <w:b/>
          <w:color w:val="auto"/>
          <w:kern w:val="0"/>
          <w:sz w:val="24"/>
          <w:highlight w:val="none"/>
        </w:rPr>
        <w:t>日期：     年    月    日</w:t>
      </w:r>
    </w:p>
    <w:p>
      <w:pPr>
        <w:adjustRightInd w:val="0"/>
        <w:snapToGrid w:val="0"/>
        <w:spacing w:line="360" w:lineRule="auto"/>
        <w:ind w:firstLine="310" w:firstLineChars="147"/>
        <w:contextualSpacing/>
        <w:rPr>
          <w:rFonts w:hint="eastAsia" w:ascii="宋体" w:hAnsi="宋体" w:cs="宋体"/>
          <w:b/>
          <w:color w:val="auto"/>
          <w:kern w:val="0"/>
          <w:szCs w:val="21"/>
          <w:highlight w:val="none"/>
        </w:rPr>
      </w:pPr>
    </w:p>
    <w:p>
      <w:pPr>
        <w:pStyle w:val="4"/>
        <w:adjustRightInd w:val="0"/>
        <w:snapToGrid w:val="0"/>
        <w:rPr>
          <w:rFonts w:hint="eastAsia" w:ascii="宋体" w:hAnsi="宋体" w:cs="宋体"/>
          <w:color w:val="auto"/>
          <w:kern w:val="0"/>
          <w:highlight w:val="none"/>
        </w:rPr>
        <w:sectPr>
          <w:footerReference r:id="rId13" w:type="default"/>
          <w:footerReference r:id="rId14" w:type="even"/>
          <w:pgSz w:w="11907" w:h="16840"/>
          <w:pgMar w:top="1497" w:right="1519" w:bottom="1497" w:left="1519" w:header="720" w:footer="720" w:gutter="0"/>
          <w:cols w:space="720" w:num="1"/>
          <w:docGrid w:linePitch="272" w:charSpace="0"/>
        </w:sectPr>
      </w:pPr>
    </w:p>
    <w:p>
      <w:pPr>
        <w:pStyle w:val="4"/>
        <w:adjustRightInd w:val="0"/>
        <w:snapToGrid w:val="0"/>
        <w:rPr>
          <w:rFonts w:hint="eastAsia" w:ascii="宋体" w:hAnsi="宋体" w:cs="宋体"/>
          <w:b w:val="0"/>
          <w:color w:val="auto"/>
          <w:kern w:val="0"/>
          <w:sz w:val="32"/>
          <w:szCs w:val="32"/>
          <w:highlight w:val="none"/>
        </w:rPr>
      </w:pPr>
      <w:r>
        <w:rPr>
          <w:rFonts w:hint="eastAsia" w:ascii="宋体" w:hAnsi="宋体" w:cs="宋体"/>
          <w:color w:val="auto"/>
          <w:kern w:val="0"/>
          <w:sz w:val="32"/>
          <w:szCs w:val="32"/>
          <w:highlight w:val="none"/>
          <w:lang w:val="en-US" w:eastAsia="zh-CN"/>
        </w:rPr>
        <w:t>五</w:t>
      </w:r>
      <w:r>
        <w:rPr>
          <w:rFonts w:hint="eastAsia" w:ascii="宋体" w:hAnsi="宋体" w:cs="宋体"/>
          <w:color w:val="auto"/>
          <w:kern w:val="0"/>
          <w:sz w:val="32"/>
          <w:szCs w:val="32"/>
          <w:highlight w:val="none"/>
        </w:rPr>
        <w:t>、</w:t>
      </w:r>
      <w:bookmarkEnd w:id="66"/>
      <w:r>
        <w:rPr>
          <w:rFonts w:hint="eastAsia" w:ascii="宋体" w:hAnsi="宋体" w:cs="宋体"/>
          <w:color w:val="auto"/>
          <w:kern w:val="0"/>
          <w:sz w:val="32"/>
          <w:szCs w:val="32"/>
          <w:highlight w:val="none"/>
        </w:rPr>
        <w:t>诚信承诺书</w:t>
      </w:r>
      <w:bookmarkEnd w:id="67"/>
    </w:p>
    <w:p>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（招标人名称）</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我方参加你方的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（项目名称）投标，我单位愿意作出以下承诺：</w:t>
      </w:r>
    </w:p>
    <w:p>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一、我单位不存在下列情形之一：</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①为招标人不具有独立法人资格的附属机构（单位）；</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②为本招标项目的监理人、代建人、项目管理人，以及为本招标项目提供招标代理、设计服务的；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③与本招标项目的监理人、代建人、招标代理机构同为一个法定代表人的，或者相互控股、参股的；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4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④</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与招标人存在利害关系可能影响招标公正性的；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5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⑤</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单位负责人为同一人或者存在控股、管理关系的不同单位；</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6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⑥</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处于被责令停业、财产被接管、冻结和破产状态，以及投标资格被取消或者被暂停且在暂停期内；</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7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⑦</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因拖欠工人工资或者因发生质量安全事故被有关部门限制在招标项目所在地承接工程的；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8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⑧</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投标人近3年内有行贿犯罪行为且被记录，或者法定代表人有行贿犯罪记录且自记录之日起未超过5年的。</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9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⑨</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不符合法律、法规规定的其他条件。</w:t>
      </w:r>
    </w:p>
    <w:p>
      <w:pPr>
        <w:adjustRightInd w:val="0"/>
        <w:snapToGrid w:val="0"/>
        <w:spacing w:line="360" w:lineRule="auto"/>
        <w:ind w:firstLine="480" w:firstLineChars="200"/>
        <w:jc w:val="left"/>
        <w:rPr>
          <w:rFonts w:hint="eastAsia" w:ascii="宋体" w:hAnsi="宋体" w:cs="宋体"/>
          <w:b/>
          <w:color w:val="auto"/>
          <w:kern w:val="0"/>
          <w:sz w:val="24"/>
          <w:highlight w:val="none"/>
        </w:rPr>
      </w:pPr>
      <w:r>
        <w:rPr>
          <w:rFonts w:hint="eastAsia" w:ascii="宋体" w:hAnsi="宋体" w:cs="宋体"/>
          <w:color w:val="auto"/>
          <w:kern w:val="0"/>
          <w:sz w:val="24"/>
          <w:highlight w:val="none"/>
        </w:rPr>
        <w:t>二、</w:t>
      </w:r>
      <w:r>
        <w:rPr>
          <w:rFonts w:hint="eastAsia" w:ascii="宋体" w:hAnsi="宋体" w:cs="宋体"/>
          <w:b/>
          <w:bCs/>
          <w:color w:val="auto"/>
          <w:kern w:val="0"/>
          <w:sz w:val="24"/>
          <w:highlight w:val="none"/>
        </w:rPr>
        <w:t>我单位承诺将按照住建部发布的建市规（2019）1号文规定，项目经理、五大员备案人员全部到岗，不违法发包、转包、分包及挂靠。否则，自愿列入建设部门黑名单。</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三、遵循公开、公平、公正和诚实守信的原则，参加本次开标会议，是我方真实意思的表达。</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四、不出借、买卖、伪造、涂改企业和从业人员的资质证书、营业执照、资格业绩、印章以及其他相关资信证明文件，严禁其他企业或个人以我公司的名义投标。</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五、严格遵守法律、法规和招标文件规定的投标程序。不隐瞒真实情况，不弄虚作假，不骗取投标和中标资格。</w:t>
      </w:r>
    </w:p>
    <w:p>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六、坚决抵制和杜绝串标、围标、哄抬报价、贿赂、回扣等违法投标和不正当竞争行为。</w:t>
      </w:r>
    </w:p>
    <w:p>
      <w:pPr>
        <w:adjustRightInd w:val="0"/>
        <w:snapToGrid w:val="0"/>
        <w:spacing w:line="360" w:lineRule="auto"/>
        <w:ind w:firstLine="482" w:firstLineChars="200"/>
        <w:jc w:val="left"/>
        <w:textAlignment w:val="baseline"/>
        <w:rPr>
          <w:rFonts w:hint="eastAsia" w:ascii="宋体" w:hAnsi="宋体" w:cs="宋体"/>
          <w:color w:val="auto"/>
          <w:kern w:val="0"/>
          <w:sz w:val="24"/>
          <w:highlight w:val="none"/>
        </w:rPr>
      </w:pPr>
      <w:r>
        <w:rPr>
          <w:rFonts w:hint="eastAsia" w:ascii="宋体" w:hAnsi="宋体" w:cs="宋体"/>
          <w:b/>
          <w:bCs/>
          <w:color w:val="auto"/>
          <w:kern w:val="0"/>
          <w:sz w:val="24"/>
          <w:highlight w:val="none"/>
        </w:rPr>
        <w:t>有下列情形之一的，属于投标人互相串通投标：</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1.投标人之间协商投标报价等投标文件的实质性内容；</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2.投标人之间约定中标人；</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3.投标人之间约定部分投标人放弃投标或者中标；</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4.属于同一集团、协会、商会等组织成员的投标人按照改该组织要求协同投标；</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5.投标人之间为谋取中标或者排斥特定投标人而采取的其他联合行动。</w:t>
      </w:r>
    </w:p>
    <w:p>
      <w:pPr>
        <w:adjustRightInd w:val="0"/>
        <w:snapToGrid w:val="0"/>
        <w:spacing w:line="360" w:lineRule="auto"/>
        <w:ind w:firstLine="482" w:firstLineChars="200"/>
        <w:jc w:val="left"/>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投标人在投标过程中有下列情形之一的，视为投标人相互串通投标：</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1.不同投标人的投标文件由同一单位或者个人编制；</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2.不同投标人委托同一单位或者个人办理投标事宜；</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3.不同投标人的投标文件载明的项目管理成员为同一人；</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4.不同投标人的投标文件异常一致或者投标报价呈规律性差异；</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5.不同投标人的投标文件相互混装；</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6.不同投标人的投标保证金从同一单位或者个人的账户转出。</w:t>
      </w:r>
    </w:p>
    <w:p>
      <w:pPr>
        <w:adjustRightInd w:val="0"/>
        <w:snapToGrid w:val="0"/>
        <w:spacing w:line="360" w:lineRule="auto"/>
        <w:ind w:firstLine="482" w:firstLineChars="200"/>
        <w:jc w:val="left"/>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有下列情形之一的，属于招标人与投标人串通投标：</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1.招标人在开标前开启投标文件并将有关信息泄露给其他投标人；</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2.招标人直接或者间接向投标人泄露标底、评标委员会成员等信息；</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3.招标人明示或者暗示投标人压低或者抬高投标报价；</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4.招标人授意投标人撤换、修改投标文件；</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5.招标人明示或者暗示投标人为特定投标人中标提供方便；</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6.招标人与投标人为谋求特定投标人中标而采取的其他串通行为。</w:t>
      </w:r>
    </w:p>
    <w:p>
      <w:pPr>
        <w:adjustRightInd w:val="0"/>
        <w:snapToGrid w:val="0"/>
        <w:spacing w:line="360" w:lineRule="auto"/>
        <w:ind w:firstLine="482" w:firstLineChars="200"/>
        <w:jc w:val="left"/>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投标人有下列情形之一的，属于招标投标法第三十三条规定的以其他方式弄虚作假的行为：</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1.使用伪造、变造的许可证件；</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2.提供虚假的财务状况或者业绩；</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3.提供虚假的项目负责人或者主要技术人员简历、劳动关系证明；</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4.提供虚假的信用状况；</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5.其他弄虚作假的行为。</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七、依法经营，公平竞争，不采取违法、违规或不正当手段损害、侵犯同行企业的正当权益。</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八、不向招标人或评标委员会成员或相关人员行贿，以牟取中标。</w:t>
      </w:r>
    </w:p>
    <w:p>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九</w:t>
      </w:r>
      <w:r>
        <w:rPr>
          <w:rFonts w:hint="eastAsia" w:ascii="宋体" w:hAnsi="宋体" w:cs="宋体"/>
          <w:color w:val="auto"/>
          <w:kern w:val="0"/>
          <w:sz w:val="24"/>
          <w:highlight w:val="none"/>
        </w:rPr>
        <w:t>、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不在招投标活动中虚假投诉。</w:t>
      </w:r>
    </w:p>
    <w:p>
      <w:pPr>
        <w:adjustRightInd w:val="0"/>
        <w:snapToGrid w:val="0"/>
        <w:spacing w:line="360" w:lineRule="auto"/>
        <w:ind w:firstLine="482" w:firstLineChars="200"/>
        <w:jc w:val="left"/>
        <w:textAlignment w:val="baseline"/>
        <w:rPr>
          <w:rFonts w:hint="eastAsia" w:ascii="宋体" w:hAnsi="宋体" w:cs="宋体"/>
          <w:color w:val="auto"/>
          <w:kern w:val="0"/>
          <w:sz w:val="24"/>
          <w:highlight w:val="none"/>
        </w:rPr>
      </w:pPr>
      <w:r>
        <w:rPr>
          <w:rFonts w:hint="eastAsia" w:ascii="宋体" w:hAnsi="宋体" w:cs="宋体"/>
          <w:b/>
          <w:bCs/>
          <w:color w:val="auto"/>
          <w:kern w:val="0"/>
          <w:sz w:val="24"/>
          <w:highlight w:val="none"/>
        </w:rPr>
        <w:t>我方若有以上违反承诺内容的行为，自愿接受取消招投标资格、将不良行为记录记入档案、没收投标保证金等有关处理，并承担相应的法律责任。给招标人造成损失的，依法承担赔偿责任。</w:t>
      </w:r>
    </w:p>
    <w:p>
      <w:pPr>
        <w:adjustRightInd w:val="0"/>
        <w:snapToGrid w:val="0"/>
        <w:spacing w:line="360" w:lineRule="auto"/>
        <w:ind w:right="210" w:firstLine="480" w:firstLineChars="200"/>
        <w:jc w:val="center"/>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投标人（盖公章）：</w:t>
      </w:r>
    </w:p>
    <w:p>
      <w:pPr>
        <w:adjustRightInd w:val="0"/>
        <w:snapToGrid w:val="0"/>
        <w:spacing w:line="360" w:lineRule="auto"/>
        <w:ind w:right="105" w:firstLine="480" w:firstLineChars="200"/>
        <w:jc w:val="center"/>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法定代表人（签字或盖章）：</w:t>
      </w:r>
    </w:p>
    <w:p>
      <w:pPr>
        <w:adjustRightInd w:val="0"/>
        <w:snapToGrid w:val="0"/>
        <w:spacing w:line="360" w:lineRule="auto"/>
        <w:ind w:firstLine="480" w:firstLineChars="200"/>
        <w:jc w:val="center"/>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年月日</w:t>
      </w:r>
    </w:p>
    <w:p>
      <w:pPr>
        <w:adjustRightInd w:val="0"/>
        <w:snapToGrid w:val="0"/>
        <w:spacing w:line="360" w:lineRule="auto"/>
        <w:ind w:firstLine="420" w:firstLineChars="200"/>
        <w:jc w:val="left"/>
        <w:textAlignment w:val="baseline"/>
        <w:rPr>
          <w:rFonts w:hint="eastAsia" w:ascii="宋体" w:hAnsi="宋体" w:cs="宋体"/>
          <w:color w:val="auto"/>
          <w:kern w:val="0"/>
          <w:highlight w:val="none"/>
        </w:rPr>
      </w:pPr>
    </w:p>
    <w:p>
      <w:pPr>
        <w:pStyle w:val="3"/>
        <w:adjustRightInd w:val="0"/>
        <w:snapToGrid w:val="0"/>
        <w:rPr>
          <w:rFonts w:hint="eastAsia" w:ascii="宋体" w:hAnsi="宋体" w:cs="宋体"/>
          <w:color w:val="auto"/>
          <w:kern w:val="0"/>
          <w:highlight w:val="none"/>
        </w:rPr>
      </w:pPr>
      <w:r>
        <w:rPr>
          <w:rFonts w:hint="eastAsia" w:ascii="宋体" w:hAnsi="宋体" w:cs="宋体"/>
          <w:b w:val="0"/>
          <w:bCs w:val="0"/>
          <w:color w:val="auto"/>
          <w:kern w:val="0"/>
          <w:sz w:val="24"/>
          <w:highlight w:val="none"/>
        </w:rPr>
        <w:br w:type="page"/>
      </w:r>
      <w:bookmarkStart w:id="68" w:name="_Toc48207481"/>
      <w:bookmarkStart w:id="69" w:name="_Toc520971173"/>
      <w:r>
        <w:rPr>
          <w:rFonts w:hint="eastAsia" w:ascii="宋体" w:hAnsi="宋体" w:cs="宋体"/>
          <w:color w:val="auto"/>
          <w:kern w:val="0"/>
          <w:highlight w:val="none"/>
        </w:rPr>
        <w:t>第八章 工程量清单</w:t>
      </w:r>
      <w:bookmarkEnd w:id="68"/>
      <w:bookmarkEnd w:id="69"/>
    </w:p>
    <w:p>
      <w:pPr>
        <w:adjustRightInd w:val="0"/>
        <w:snapToGrid w:val="0"/>
        <w:spacing w:line="360" w:lineRule="auto"/>
        <w:rPr>
          <w:rFonts w:hint="eastAsia" w:ascii="宋体" w:hAnsi="宋体" w:cs="宋体"/>
          <w:color w:val="auto"/>
          <w:kern w:val="0"/>
          <w:sz w:val="24"/>
          <w:highlight w:val="none"/>
        </w:rPr>
      </w:pPr>
      <w:r>
        <w:rPr>
          <w:rFonts w:hint="eastAsia" w:ascii="宋体" w:hAnsi="宋体" w:cs="宋体"/>
          <w:b/>
          <w:bCs/>
          <w:color w:val="auto"/>
          <w:kern w:val="0"/>
          <w:sz w:val="24"/>
          <w:highlight w:val="none"/>
        </w:rPr>
        <w:t>见附件</w:t>
      </w:r>
    </w:p>
    <w:p>
      <w:pPr>
        <w:adjustRightInd w:val="0"/>
        <w:snapToGrid w:val="0"/>
        <w:spacing w:line="360" w:lineRule="auto"/>
        <w:rPr>
          <w:rFonts w:hint="eastAsia" w:ascii="宋体" w:hAnsi="宋体" w:cs="宋体"/>
          <w:color w:val="auto"/>
          <w:kern w:val="0"/>
          <w:sz w:val="24"/>
          <w:highlight w:val="none"/>
        </w:rPr>
      </w:pPr>
    </w:p>
    <w:p>
      <w:pPr>
        <w:adjustRightInd w:val="0"/>
        <w:snapToGrid w:val="0"/>
        <w:spacing w:line="360" w:lineRule="auto"/>
        <w:rPr>
          <w:rFonts w:hint="eastAsia" w:ascii="宋体" w:hAnsi="宋体" w:cs="宋体"/>
          <w:color w:val="auto"/>
          <w:kern w:val="0"/>
          <w:sz w:val="24"/>
          <w:highlight w:val="none"/>
        </w:rPr>
      </w:pPr>
    </w:p>
    <w:p>
      <w:pPr>
        <w:pStyle w:val="8"/>
        <w:snapToGrid w:val="0"/>
        <w:spacing w:line="360" w:lineRule="auto"/>
        <w:ind w:firstLine="0"/>
        <w:jc w:val="center"/>
        <w:rPr>
          <w:rFonts w:hint="eastAsia" w:ascii="宋体" w:hAnsi="宋体" w:cs="宋体"/>
          <w:color w:val="auto"/>
          <w:highlight w:val="none"/>
        </w:rPr>
      </w:pPr>
    </w:p>
    <w:p>
      <w:pPr>
        <w:adjustRightInd w:val="0"/>
        <w:snapToGrid w:val="0"/>
        <w:spacing w:line="360" w:lineRule="auto"/>
        <w:rPr>
          <w:rFonts w:hint="eastAsia" w:ascii="宋体" w:hAnsi="宋体" w:cs="宋体"/>
          <w:color w:val="auto"/>
          <w:kern w:val="0"/>
          <w:highlight w:val="none"/>
        </w:rPr>
      </w:pPr>
    </w:p>
    <w:sectPr>
      <w:pgSz w:w="11907" w:h="16840"/>
      <w:pgMar w:top="1497" w:right="1519" w:bottom="1497" w:left="1519"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enlo">
    <w:altName w:val="Microsoft Sans Serif"/>
    <w:panose1 w:val="00000000000000000000"/>
    <w:charset w:val="00"/>
    <w:family w:val="modern"/>
    <w:pitch w:val="default"/>
    <w:sig w:usb0="00000000" w:usb1="00000000" w:usb2="02000028" w:usb3="00000000" w:csb0="000001DF" w:csb1="0000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A00002BF" w:usb1="68C7FCFB" w:usb2="00000010" w:usb3="00000000" w:csb0="4002009F" w:csb1="DFD7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8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pPr>
      <w:pStyle w:val="35"/>
      <w:framePr w:wrap="around" w:vAnchor="text" w:hAnchor="margin" w:xAlign="outside" w:y="1"/>
      <w:ind w:right="360"/>
      <w:rPr>
        <w:rStyle w:val="66"/>
      </w:rPr>
    </w:pPr>
  </w:p>
  <w:p>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pPr>
      <w:pStyle w:val="35"/>
      <w:framePr w:wrap="around" w:vAnchor="text" w:hAnchor="margin" w:xAlign="outside" w:y="1"/>
      <w:ind w:right="360"/>
      <w:rPr>
        <w:rStyle w:val="66"/>
      </w:rPr>
    </w:pPr>
  </w:p>
  <w:p>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BtJWMsBAACc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AbSVjLAQAAnAMAAA4AAAAAAAAAAQAgAAAAHgEAAGRycy9lMm9E&#10;b2MueG1sUEsFBgAAAAAGAAYAWQEAAFsFAAAAAA==&#10;">
              <v:fill on="f" focussize="0,0"/>
              <v:stroke on="f"/>
              <v:imagedata o:title=""/>
              <o:lock v:ext="edit" aspectratio="f"/>
              <v:textbox inset="0mm,0mm,0mm,0mm" style="mso-fit-shape-to-text:t;">
                <w:txbxContent>
                  <w:p>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D26D2"/>
    <w:multiLevelType w:val="singleLevel"/>
    <w:tmpl w:val="5FFD26D2"/>
    <w:lvl w:ilvl="0" w:tentative="0">
      <w:start w:val="7"/>
      <w:numFmt w:val="decimal"/>
      <w:suff w:val="nothing"/>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xYTFjNTIyNzUxYmZjNThlNWQ0YzJhN2MxNWViY2M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227896"/>
    <w:rsid w:val="039B7CFF"/>
    <w:rsid w:val="03CF2CC4"/>
    <w:rsid w:val="05C62C80"/>
    <w:rsid w:val="0613755A"/>
    <w:rsid w:val="069522FC"/>
    <w:rsid w:val="06AE218B"/>
    <w:rsid w:val="06D04195"/>
    <w:rsid w:val="07D56CE9"/>
    <w:rsid w:val="0C0E0040"/>
    <w:rsid w:val="0D1D5845"/>
    <w:rsid w:val="0D296F79"/>
    <w:rsid w:val="0D700BF6"/>
    <w:rsid w:val="0E2A646C"/>
    <w:rsid w:val="0E99378B"/>
    <w:rsid w:val="0EB9277B"/>
    <w:rsid w:val="0FC131D1"/>
    <w:rsid w:val="0FC23B3F"/>
    <w:rsid w:val="10502F6F"/>
    <w:rsid w:val="10C34956"/>
    <w:rsid w:val="10EF11A2"/>
    <w:rsid w:val="11424C59"/>
    <w:rsid w:val="11CD0546"/>
    <w:rsid w:val="123F4795"/>
    <w:rsid w:val="12484447"/>
    <w:rsid w:val="130751AA"/>
    <w:rsid w:val="136A6CA5"/>
    <w:rsid w:val="13783FA4"/>
    <w:rsid w:val="13E95E7E"/>
    <w:rsid w:val="149079E5"/>
    <w:rsid w:val="14D05348"/>
    <w:rsid w:val="16E42322"/>
    <w:rsid w:val="172F798D"/>
    <w:rsid w:val="173531FB"/>
    <w:rsid w:val="174F51A2"/>
    <w:rsid w:val="17780248"/>
    <w:rsid w:val="177D2C2B"/>
    <w:rsid w:val="18642B26"/>
    <w:rsid w:val="186C0474"/>
    <w:rsid w:val="19595E57"/>
    <w:rsid w:val="1A017880"/>
    <w:rsid w:val="1A10539C"/>
    <w:rsid w:val="1A4114A0"/>
    <w:rsid w:val="1AA930ED"/>
    <w:rsid w:val="1B751F4B"/>
    <w:rsid w:val="1C032FFA"/>
    <w:rsid w:val="1C9D4DC0"/>
    <w:rsid w:val="1D5B04AD"/>
    <w:rsid w:val="1D776824"/>
    <w:rsid w:val="1D975EB9"/>
    <w:rsid w:val="1DD657FF"/>
    <w:rsid w:val="1EEE6EA3"/>
    <w:rsid w:val="1F011A6D"/>
    <w:rsid w:val="1F423BE7"/>
    <w:rsid w:val="209F6B2B"/>
    <w:rsid w:val="20E34258"/>
    <w:rsid w:val="20FC64B8"/>
    <w:rsid w:val="21C44792"/>
    <w:rsid w:val="21E0026F"/>
    <w:rsid w:val="22D83AF6"/>
    <w:rsid w:val="236536B4"/>
    <w:rsid w:val="24D40A88"/>
    <w:rsid w:val="26344387"/>
    <w:rsid w:val="264F486A"/>
    <w:rsid w:val="266A481C"/>
    <w:rsid w:val="26B04BDD"/>
    <w:rsid w:val="275119B7"/>
    <w:rsid w:val="27DA63B5"/>
    <w:rsid w:val="27FD111B"/>
    <w:rsid w:val="288620C8"/>
    <w:rsid w:val="288B2E4A"/>
    <w:rsid w:val="28D24E67"/>
    <w:rsid w:val="28DD326D"/>
    <w:rsid w:val="29EA2806"/>
    <w:rsid w:val="2C9D5C3F"/>
    <w:rsid w:val="2D090E10"/>
    <w:rsid w:val="2D6F75A0"/>
    <w:rsid w:val="2D8F7C42"/>
    <w:rsid w:val="2E6C3ADF"/>
    <w:rsid w:val="2EE42E35"/>
    <w:rsid w:val="2EFF1241"/>
    <w:rsid w:val="2F535BC9"/>
    <w:rsid w:val="2FFA079B"/>
    <w:rsid w:val="308B06EA"/>
    <w:rsid w:val="31237355"/>
    <w:rsid w:val="3187234A"/>
    <w:rsid w:val="320E092F"/>
    <w:rsid w:val="321D581C"/>
    <w:rsid w:val="325E3AC9"/>
    <w:rsid w:val="326A7091"/>
    <w:rsid w:val="32DC56D7"/>
    <w:rsid w:val="33460DA3"/>
    <w:rsid w:val="33574328"/>
    <w:rsid w:val="347850C6"/>
    <w:rsid w:val="35335357"/>
    <w:rsid w:val="38811AF0"/>
    <w:rsid w:val="3A0472C2"/>
    <w:rsid w:val="3A1A3CCC"/>
    <w:rsid w:val="3BF07AFD"/>
    <w:rsid w:val="3D1A26DD"/>
    <w:rsid w:val="3E2C1BA0"/>
    <w:rsid w:val="3EC93E98"/>
    <w:rsid w:val="41AD553C"/>
    <w:rsid w:val="43AA0EDA"/>
    <w:rsid w:val="462D5184"/>
    <w:rsid w:val="470152E6"/>
    <w:rsid w:val="473867FC"/>
    <w:rsid w:val="47AA4EE7"/>
    <w:rsid w:val="49CD792E"/>
    <w:rsid w:val="4B9745D3"/>
    <w:rsid w:val="4C6D39D7"/>
    <w:rsid w:val="4CE20FB3"/>
    <w:rsid w:val="4DE91580"/>
    <w:rsid w:val="4DEC3D0A"/>
    <w:rsid w:val="4E600B13"/>
    <w:rsid w:val="4EDB0D29"/>
    <w:rsid w:val="50412E52"/>
    <w:rsid w:val="51B10043"/>
    <w:rsid w:val="51B178D7"/>
    <w:rsid w:val="525B4D3E"/>
    <w:rsid w:val="52C266FE"/>
    <w:rsid w:val="53724217"/>
    <w:rsid w:val="5374714C"/>
    <w:rsid w:val="55195EBF"/>
    <w:rsid w:val="55696EAA"/>
    <w:rsid w:val="55AA0117"/>
    <w:rsid w:val="57142B1D"/>
    <w:rsid w:val="582271F5"/>
    <w:rsid w:val="59857C38"/>
    <w:rsid w:val="5A315DAE"/>
    <w:rsid w:val="5ADB421C"/>
    <w:rsid w:val="5B6A7475"/>
    <w:rsid w:val="5C001B87"/>
    <w:rsid w:val="5DE41BF1"/>
    <w:rsid w:val="5F1025B2"/>
    <w:rsid w:val="5F4D3766"/>
    <w:rsid w:val="614721EE"/>
    <w:rsid w:val="61912706"/>
    <w:rsid w:val="62553608"/>
    <w:rsid w:val="629923E7"/>
    <w:rsid w:val="64802002"/>
    <w:rsid w:val="64B41760"/>
    <w:rsid w:val="6532695B"/>
    <w:rsid w:val="65737575"/>
    <w:rsid w:val="66B14307"/>
    <w:rsid w:val="66FC4B87"/>
    <w:rsid w:val="67460AA2"/>
    <w:rsid w:val="692A5C95"/>
    <w:rsid w:val="69CE0BCF"/>
    <w:rsid w:val="6A350C4E"/>
    <w:rsid w:val="6B395EEC"/>
    <w:rsid w:val="6B866F64"/>
    <w:rsid w:val="6C5D4986"/>
    <w:rsid w:val="6D890F1D"/>
    <w:rsid w:val="6E193DD4"/>
    <w:rsid w:val="6FEE1FCA"/>
    <w:rsid w:val="706E78E6"/>
    <w:rsid w:val="70D26BC3"/>
    <w:rsid w:val="710923B3"/>
    <w:rsid w:val="7128150C"/>
    <w:rsid w:val="714F7D46"/>
    <w:rsid w:val="71F11C02"/>
    <w:rsid w:val="72EE0533"/>
    <w:rsid w:val="73942340"/>
    <w:rsid w:val="746A7919"/>
    <w:rsid w:val="75434EB9"/>
    <w:rsid w:val="7725521B"/>
    <w:rsid w:val="77511359"/>
    <w:rsid w:val="77901027"/>
    <w:rsid w:val="780F502D"/>
    <w:rsid w:val="782A7532"/>
    <w:rsid w:val="78451EF3"/>
    <w:rsid w:val="78733B4E"/>
    <w:rsid w:val="78977B66"/>
    <w:rsid w:val="7A8F59BC"/>
    <w:rsid w:val="7A917B62"/>
    <w:rsid w:val="7D0E2525"/>
    <w:rsid w:val="7DFA505C"/>
    <w:rsid w:val="7E1E533A"/>
    <w:rsid w:val="7F40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0"/>
    <w:qFormat/>
    <w:uiPriority w:val="0"/>
    <w:pPr>
      <w:spacing w:line="360" w:lineRule="auto"/>
      <w:jc w:val="center"/>
      <w:outlineLvl w:val="0"/>
    </w:pPr>
    <w:rPr>
      <w:b/>
      <w:bCs/>
      <w:kern w:val="44"/>
      <w:sz w:val="32"/>
      <w:szCs w:val="44"/>
    </w:rPr>
  </w:style>
  <w:style w:type="paragraph" w:styleId="4">
    <w:name w:val="heading 2"/>
    <w:basedOn w:val="1"/>
    <w:next w:val="1"/>
    <w:link w:val="81"/>
    <w:qFormat/>
    <w:uiPriority w:val="0"/>
    <w:pPr>
      <w:spacing w:line="360" w:lineRule="auto"/>
      <w:jc w:val="center"/>
      <w:outlineLvl w:val="1"/>
    </w:pPr>
    <w:rPr>
      <w:b/>
      <w:bCs/>
      <w:color w:val="000000"/>
      <w:sz w:val="28"/>
      <w:szCs w:val="30"/>
    </w:rPr>
  </w:style>
  <w:style w:type="paragraph" w:styleId="5">
    <w:name w:val="heading 3"/>
    <w:basedOn w:val="1"/>
    <w:next w:val="1"/>
    <w:link w:val="82"/>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6">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84"/>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9">
    <w:name w:val="heading 6"/>
    <w:basedOn w:val="1"/>
    <w:next w:val="8"/>
    <w:link w:val="86"/>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10">
    <w:name w:val="heading 7"/>
    <w:basedOn w:val="1"/>
    <w:next w:val="8"/>
    <w:link w:val="87"/>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1">
    <w:name w:val="heading 8"/>
    <w:basedOn w:val="1"/>
    <w:next w:val="8"/>
    <w:link w:val="88"/>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2">
    <w:name w:val="heading 9"/>
    <w:basedOn w:val="1"/>
    <w:next w:val="8"/>
    <w:link w:val="89"/>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semiHidden/>
    <w:qFormat/>
    <w:uiPriority w:val="0"/>
  </w:style>
  <w:style w:type="table" w:default="1" w:styleId="61">
    <w:name w:val="Normal Table"/>
    <w:semiHidden/>
    <w:qFormat/>
    <w:uiPriority w:val="0"/>
    <w:tblPr>
      <w:tblCellMar>
        <w:top w:w="0" w:type="dxa"/>
        <w:left w:w="108" w:type="dxa"/>
        <w:bottom w:w="0" w:type="dxa"/>
        <w:right w:w="108" w:type="dxa"/>
      </w:tblCellMar>
    </w:tblPr>
  </w:style>
  <w:style w:type="paragraph" w:styleId="2">
    <w:name w:val="Body Text"/>
    <w:basedOn w:val="1"/>
    <w:next w:val="1"/>
    <w:link w:val="94"/>
    <w:qFormat/>
    <w:uiPriority w:val="0"/>
    <w:pPr>
      <w:spacing w:line="360" w:lineRule="auto"/>
    </w:pPr>
    <w:rPr>
      <w:rFonts w:eastAsia="仿宋_GB2312"/>
      <w:sz w:val="23"/>
    </w:rPr>
  </w:style>
  <w:style w:type="paragraph" w:styleId="8">
    <w:name w:val="Normal Indent"/>
    <w:basedOn w:val="1"/>
    <w:link w:val="85"/>
    <w:qFormat/>
    <w:uiPriority w:val="0"/>
    <w:pPr>
      <w:adjustRightInd w:val="0"/>
      <w:spacing w:line="360" w:lineRule="atLeast"/>
      <w:ind w:firstLine="482"/>
      <w:textAlignment w:val="baseline"/>
    </w:pPr>
    <w:rPr>
      <w:kern w:val="0"/>
      <w:sz w:val="24"/>
    </w:rPr>
  </w:style>
  <w:style w:type="paragraph" w:styleId="13">
    <w:name w:val="toc 7"/>
    <w:basedOn w:val="1"/>
    <w:next w:val="1"/>
    <w:qFormat/>
    <w:uiPriority w:val="39"/>
    <w:pPr>
      <w:ind w:left="2520"/>
    </w:pPr>
    <w:rPr>
      <w:rFonts w:ascii="Calibri" w:hAnsi="Calibri" w:eastAsia="楷体_GB2312"/>
      <w:sz w:val="26"/>
      <w:szCs w:val="20"/>
    </w:rPr>
  </w:style>
  <w:style w:type="paragraph" w:styleId="14">
    <w:name w:val="index 8"/>
    <w:basedOn w:val="1"/>
    <w:next w:val="1"/>
    <w:qFormat/>
    <w:uiPriority w:val="0"/>
    <w:pPr>
      <w:ind w:left="2940"/>
    </w:pPr>
    <w:rPr>
      <w:rFonts w:ascii="Calibri" w:hAnsi="Calibri" w:eastAsia="楷体_GB2312"/>
      <w:sz w:val="26"/>
      <w:szCs w:val="20"/>
    </w:rPr>
  </w:style>
  <w:style w:type="paragraph" w:styleId="15">
    <w:name w:val="caption"/>
    <w:basedOn w:val="1"/>
    <w:next w:val="1"/>
    <w:qFormat/>
    <w:uiPriority w:val="99"/>
    <w:rPr>
      <w:rFonts w:ascii="Cambria" w:hAnsi="Cambria" w:eastAsia="黑体"/>
      <w:sz w:val="20"/>
      <w:szCs w:val="20"/>
    </w:rPr>
  </w:style>
  <w:style w:type="paragraph" w:styleId="16">
    <w:name w:val="index 5"/>
    <w:basedOn w:val="1"/>
    <w:next w:val="1"/>
    <w:qFormat/>
    <w:uiPriority w:val="0"/>
    <w:pPr>
      <w:ind w:left="1680"/>
    </w:pPr>
    <w:rPr>
      <w:rFonts w:ascii="Calibri" w:hAnsi="Calibri" w:eastAsia="楷体_GB2312"/>
      <w:sz w:val="26"/>
      <w:szCs w:val="20"/>
    </w:rPr>
  </w:style>
  <w:style w:type="paragraph" w:styleId="17">
    <w:name w:val="Document Map"/>
    <w:basedOn w:val="1"/>
    <w:link w:val="90"/>
    <w:unhideWhenUsed/>
    <w:qFormat/>
    <w:uiPriority w:val="0"/>
    <w:rPr>
      <w:rFonts w:ascii="宋体" w:hAnsi="Calibri"/>
      <w:sz w:val="18"/>
      <w:szCs w:val="18"/>
    </w:rPr>
  </w:style>
  <w:style w:type="paragraph" w:styleId="18">
    <w:name w:val="toa heading"/>
    <w:basedOn w:val="1"/>
    <w:next w:val="1"/>
    <w:qFormat/>
    <w:uiPriority w:val="99"/>
    <w:pPr>
      <w:adjustRightInd w:val="0"/>
      <w:spacing w:line="360" w:lineRule="atLeast"/>
      <w:jc w:val="center"/>
      <w:textAlignment w:val="baseline"/>
    </w:pPr>
    <w:rPr>
      <w:rFonts w:ascii="Arial" w:hAnsi="Arial" w:eastAsia="黑体"/>
      <w:kern w:val="0"/>
      <w:sz w:val="36"/>
      <w:szCs w:val="20"/>
    </w:rPr>
  </w:style>
  <w:style w:type="paragraph" w:styleId="19">
    <w:name w:val="annotation text"/>
    <w:basedOn w:val="1"/>
    <w:link w:val="91"/>
    <w:qFormat/>
    <w:uiPriority w:val="99"/>
    <w:pPr>
      <w:jc w:val="left"/>
    </w:pPr>
  </w:style>
  <w:style w:type="paragraph" w:styleId="20">
    <w:name w:val="index 6"/>
    <w:basedOn w:val="1"/>
    <w:next w:val="1"/>
    <w:qFormat/>
    <w:uiPriority w:val="0"/>
    <w:pPr>
      <w:ind w:left="2100"/>
    </w:pPr>
    <w:rPr>
      <w:rFonts w:ascii="Calibri" w:hAnsi="Calibri" w:eastAsia="楷体_GB2312"/>
      <w:sz w:val="26"/>
      <w:szCs w:val="20"/>
    </w:rPr>
  </w:style>
  <w:style w:type="paragraph" w:styleId="21">
    <w:name w:val="Salutation"/>
    <w:basedOn w:val="1"/>
    <w:next w:val="1"/>
    <w:link w:val="92"/>
    <w:qFormat/>
    <w:uiPriority w:val="99"/>
    <w:pPr>
      <w:widowControl/>
      <w:jc w:val="left"/>
    </w:pPr>
    <w:rPr>
      <w:kern w:val="0"/>
      <w:sz w:val="30"/>
      <w:szCs w:val="20"/>
    </w:rPr>
  </w:style>
  <w:style w:type="paragraph" w:styleId="22">
    <w:name w:val="Body Text 3"/>
    <w:basedOn w:val="1"/>
    <w:link w:val="93"/>
    <w:qFormat/>
    <w:uiPriority w:val="99"/>
    <w:pPr>
      <w:spacing w:line="500" w:lineRule="exact"/>
    </w:pPr>
    <w:rPr>
      <w:color w:val="000000"/>
      <w:sz w:val="24"/>
      <w:szCs w:val="20"/>
    </w:rPr>
  </w:style>
  <w:style w:type="paragraph" w:styleId="23">
    <w:name w:val="Body Text Indent"/>
    <w:basedOn w:val="1"/>
    <w:link w:val="95"/>
    <w:unhideWhenUsed/>
    <w:qFormat/>
    <w:uiPriority w:val="99"/>
    <w:pPr>
      <w:spacing w:after="120"/>
      <w:ind w:left="420" w:leftChars="200"/>
    </w:pPr>
    <w:rPr>
      <w:rFonts w:ascii="Calibri" w:hAnsi="Calibri"/>
      <w:szCs w:val="22"/>
    </w:rPr>
  </w:style>
  <w:style w:type="paragraph" w:styleId="24">
    <w:name w:val="Block Text"/>
    <w:basedOn w:val="1"/>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qFormat/>
    <w:uiPriority w:val="0"/>
    <w:pPr>
      <w:ind w:left="1260"/>
    </w:pPr>
    <w:rPr>
      <w:rFonts w:ascii="Calibri" w:hAnsi="Calibri"/>
      <w:szCs w:val="20"/>
    </w:rPr>
  </w:style>
  <w:style w:type="paragraph" w:styleId="26">
    <w:name w:val="toc 5"/>
    <w:basedOn w:val="1"/>
    <w:next w:val="1"/>
    <w:qFormat/>
    <w:uiPriority w:val="39"/>
    <w:pPr>
      <w:ind w:left="1680"/>
    </w:pPr>
    <w:rPr>
      <w:rFonts w:ascii="Calibri" w:hAnsi="Calibri" w:eastAsia="楷体_GB2312"/>
      <w:sz w:val="26"/>
      <w:szCs w:val="20"/>
    </w:rPr>
  </w:style>
  <w:style w:type="paragraph" w:styleId="27">
    <w:name w:val="toc 3"/>
    <w:basedOn w:val="1"/>
    <w:next w:val="1"/>
    <w:link w:val="96"/>
    <w:qFormat/>
    <w:uiPriority w:val="39"/>
    <w:pPr>
      <w:ind w:left="840" w:leftChars="400"/>
    </w:pPr>
    <w:rPr>
      <w:rFonts w:ascii="Calibri" w:hAnsi="Calibri"/>
      <w:szCs w:val="20"/>
    </w:rPr>
  </w:style>
  <w:style w:type="paragraph" w:styleId="28">
    <w:name w:val="Plain Text"/>
    <w:basedOn w:val="1"/>
    <w:link w:val="97"/>
    <w:qFormat/>
    <w:uiPriority w:val="0"/>
    <w:rPr>
      <w:rFonts w:ascii="宋体" w:hAnsi="Courier New"/>
      <w:szCs w:val="21"/>
    </w:rPr>
  </w:style>
  <w:style w:type="paragraph" w:styleId="29">
    <w:name w:val="toc 8"/>
    <w:basedOn w:val="1"/>
    <w:next w:val="1"/>
    <w:qFormat/>
    <w:uiPriority w:val="39"/>
    <w:pPr>
      <w:ind w:left="2940"/>
    </w:pPr>
    <w:rPr>
      <w:rFonts w:ascii="Calibri" w:hAnsi="Calibri" w:eastAsia="楷体_GB2312"/>
      <w:sz w:val="26"/>
      <w:szCs w:val="20"/>
    </w:rPr>
  </w:style>
  <w:style w:type="paragraph" w:styleId="30">
    <w:name w:val="index 3"/>
    <w:basedOn w:val="1"/>
    <w:next w:val="1"/>
    <w:qFormat/>
    <w:uiPriority w:val="0"/>
    <w:pPr>
      <w:ind w:left="840"/>
    </w:pPr>
    <w:rPr>
      <w:rFonts w:ascii="Calibri" w:hAnsi="Calibri" w:eastAsia="楷体_GB2312"/>
      <w:sz w:val="26"/>
      <w:szCs w:val="20"/>
    </w:rPr>
  </w:style>
  <w:style w:type="paragraph" w:styleId="31">
    <w:name w:val="Date"/>
    <w:basedOn w:val="1"/>
    <w:next w:val="1"/>
    <w:link w:val="98"/>
    <w:qFormat/>
    <w:uiPriority w:val="99"/>
    <w:rPr>
      <w:rFonts w:ascii="宋体" w:hAnsi="宋体" w:eastAsia="楷体_GB2312"/>
      <w:sz w:val="24"/>
      <w:szCs w:val="20"/>
    </w:rPr>
  </w:style>
  <w:style w:type="paragraph" w:styleId="32">
    <w:name w:val="Body Text Indent 2"/>
    <w:basedOn w:val="1"/>
    <w:link w:val="99"/>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qFormat/>
    <w:uiPriority w:val="99"/>
    <w:pPr>
      <w:snapToGrid w:val="0"/>
      <w:jc w:val="left"/>
    </w:pPr>
  </w:style>
  <w:style w:type="paragraph" w:styleId="34">
    <w:name w:val="Balloon Text"/>
    <w:basedOn w:val="1"/>
    <w:link w:val="101"/>
    <w:unhideWhenUsed/>
    <w:qFormat/>
    <w:uiPriority w:val="99"/>
    <w:rPr>
      <w:rFonts w:ascii="Calibri" w:hAnsi="Calibri"/>
      <w:sz w:val="18"/>
      <w:szCs w:val="18"/>
    </w:rPr>
  </w:style>
  <w:style w:type="paragraph" w:styleId="35">
    <w:name w:val="footer"/>
    <w:basedOn w:val="1"/>
    <w:link w:val="102"/>
    <w:qFormat/>
    <w:uiPriority w:val="99"/>
    <w:pPr>
      <w:tabs>
        <w:tab w:val="center" w:pos="4153"/>
        <w:tab w:val="right" w:pos="8306"/>
      </w:tabs>
      <w:snapToGrid w:val="0"/>
      <w:jc w:val="left"/>
    </w:pPr>
    <w:rPr>
      <w:sz w:val="18"/>
    </w:rPr>
  </w:style>
  <w:style w:type="paragraph" w:styleId="36">
    <w:name w:val="envelope return"/>
    <w:basedOn w:val="1"/>
    <w:unhideWhenUsed/>
    <w:qFormat/>
    <w:uiPriority w:val="99"/>
    <w:pPr>
      <w:snapToGrid w:val="0"/>
    </w:pPr>
    <w:rPr>
      <w:rFonts w:ascii="Arial" w:hAnsi="Arial" w:eastAsia="楷体_GB2312"/>
      <w:sz w:val="26"/>
      <w:szCs w:val="20"/>
    </w:rPr>
  </w:style>
  <w:style w:type="paragraph" w:styleId="3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qFormat/>
    <w:uiPriority w:val="39"/>
    <w:pPr>
      <w:spacing w:line="360" w:lineRule="auto"/>
    </w:pPr>
    <w:rPr>
      <w:sz w:val="24"/>
    </w:rPr>
  </w:style>
  <w:style w:type="paragraph" w:styleId="40">
    <w:name w:val="toc 4"/>
    <w:basedOn w:val="1"/>
    <w:next w:val="1"/>
    <w:qFormat/>
    <w:uiPriority w:val="39"/>
    <w:pPr>
      <w:ind w:left="1260"/>
    </w:pPr>
    <w:rPr>
      <w:rFonts w:ascii="Calibri" w:hAnsi="Calibri" w:eastAsia="楷体_GB2312"/>
      <w:sz w:val="26"/>
      <w:szCs w:val="20"/>
    </w:rPr>
  </w:style>
  <w:style w:type="paragraph" w:styleId="41">
    <w:name w:val="index heading"/>
    <w:basedOn w:val="1"/>
    <w:next w:val="42"/>
    <w:qFormat/>
    <w:uiPriority w:val="0"/>
    <w:rPr>
      <w:rFonts w:ascii="Calibri" w:hAnsi="Calibri" w:eastAsia="楷体_GB2312"/>
      <w:sz w:val="26"/>
      <w:szCs w:val="20"/>
    </w:rPr>
  </w:style>
  <w:style w:type="paragraph" w:styleId="42">
    <w:name w:val="index 1"/>
    <w:basedOn w:val="1"/>
    <w:next w:val="1"/>
    <w:qFormat/>
    <w:uiPriority w:val="0"/>
  </w:style>
  <w:style w:type="paragraph" w:styleId="43">
    <w:name w:val="Subtitle"/>
    <w:basedOn w:val="1"/>
    <w:next w:val="1"/>
    <w:link w:val="105"/>
    <w:qFormat/>
    <w:uiPriority w:val="0"/>
    <w:pPr>
      <w:spacing w:before="240" w:after="60" w:line="312" w:lineRule="auto"/>
      <w:jc w:val="center"/>
      <w:outlineLvl w:val="1"/>
    </w:pPr>
    <w:rPr>
      <w:rFonts w:ascii="Cambria" w:hAnsi="Cambria"/>
      <w:b/>
      <w:kern w:val="28"/>
      <w:sz w:val="32"/>
      <w:szCs w:val="20"/>
    </w:rPr>
  </w:style>
  <w:style w:type="paragraph" w:styleId="44">
    <w:name w:val="List"/>
    <w:basedOn w:val="2"/>
    <w:qFormat/>
    <w:uiPriority w:val="0"/>
    <w:pPr>
      <w:suppressAutoHyphens/>
    </w:pPr>
    <w:rPr>
      <w:kern w:val="1"/>
      <w:sz w:val="24"/>
      <w:lang w:eastAsia="ar-SA"/>
    </w:rPr>
  </w:style>
  <w:style w:type="paragraph" w:styleId="45">
    <w:name w:val="footnote text"/>
    <w:basedOn w:val="1"/>
    <w:link w:val="106"/>
    <w:qFormat/>
    <w:uiPriority w:val="99"/>
    <w:pPr>
      <w:snapToGrid w:val="0"/>
      <w:jc w:val="left"/>
    </w:pPr>
    <w:rPr>
      <w:rFonts w:ascii="Calibri" w:hAnsi="Calibri" w:eastAsia="楷体_GB2312"/>
      <w:sz w:val="18"/>
      <w:szCs w:val="20"/>
    </w:rPr>
  </w:style>
  <w:style w:type="paragraph" w:styleId="46">
    <w:name w:val="toc 6"/>
    <w:basedOn w:val="1"/>
    <w:next w:val="1"/>
    <w:qFormat/>
    <w:uiPriority w:val="39"/>
    <w:pPr>
      <w:ind w:left="2100"/>
    </w:pPr>
    <w:rPr>
      <w:rFonts w:ascii="Calibri" w:hAnsi="Calibri" w:eastAsia="楷体_GB2312"/>
      <w:sz w:val="26"/>
      <w:szCs w:val="20"/>
    </w:rPr>
  </w:style>
  <w:style w:type="paragraph" w:styleId="47">
    <w:name w:val="Body Text Indent 3"/>
    <w:basedOn w:val="1"/>
    <w:link w:val="107"/>
    <w:qFormat/>
    <w:uiPriority w:val="99"/>
    <w:pPr>
      <w:spacing w:line="360" w:lineRule="auto"/>
      <w:ind w:firstLine="617" w:firstLineChars="257"/>
    </w:pPr>
    <w:rPr>
      <w:rFonts w:ascii="Calibri" w:hAnsi="Calibri"/>
      <w:sz w:val="24"/>
    </w:rPr>
  </w:style>
  <w:style w:type="paragraph" w:styleId="48">
    <w:name w:val="index 7"/>
    <w:basedOn w:val="1"/>
    <w:next w:val="1"/>
    <w:qFormat/>
    <w:uiPriority w:val="0"/>
    <w:pPr>
      <w:ind w:left="2520"/>
    </w:pPr>
    <w:rPr>
      <w:rFonts w:ascii="Calibri" w:hAnsi="Calibri" w:eastAsia="楷体_GB2312"/>
      <w:sz w:val="26"/>
      <w:szCs w:val="20"/>
    </w:rPr>
  </w:style>
  <w:style w:type="paragraph" w:styleId="49">
    <w:name w:val="index 9"/>
    <w:basedOn w:val="1"/>
    <w:next w:val="1"/>
    <w:qFormat/>
    <w:uiPriority w:val="0"/>
    <w:pPr>
      <w:ind w:left="3360"/>
    </w:pPr>
    <w:rPr>
      <w:rFonts w:ascii="Calibri" w:hAnsi="Calibri" w:eastAsia="楷体_GB2312"/>
      <w:sz w:val="26"/>
      <w:szCs w:val="20"/>
    </w:rPr>
  </w:style>
  <w:style w:type="paragraph" w:styleId="50">
    <w:name w:val="table of figures"/>
    <w:basedOn w:val="1"/>
    <w:next w:val="1"/>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qFormat/>
    <w:uiPriority w:val="39"/>
    <w:pPr>
      <w:ind w:left="420"/>
    </w:pPr>
    <w:rPr>
      <w:rFonts w:ascii="Calibri" w:hAnsi="Calibri" w:eastAsia="楷体_GB2312"/>
      <w:sz w:val="26"/>
      <w:szCs w:val="20"/>
    </w:rPr>
  </w:style>
  <w:style w:type="paragraph" w:styleId="52">
    <w:name w:val="toc 9"/>
    <w:basedOn w:val="1"/>
    <w:next w:val="1"/>
    <w:qFormat/>
    <w:uiPriority w:val="39"/>
    <w:pPr>
      <w:ind w:left="3360"/>
    </w:pPr>
    <w:rPr>
      <w:rFonts w:ascii="Calibri" w:hAnsi="Calibri" w:eastAsia="楷体_GB2312"/>
      <w:sz w:val="26"/>
      <w:szCs w:val="20"/>
    </w:rPr>
  </w:style>
  <w:style w:type="paragraph" w:styleId="53">
    <w:name w:val="Body Text 2"/>
    <w:basedOn w:val="1"/>
    <w:link w:val="108"/>
    <w:qFormat/>
    <w:uiPriority w:val="99"/>
    <w:pPr>
      <w:spacing w:after="120" w:line="480" w:lineRule="auto"/>
    </w:pPr>
  </w:style>
  <w:style w:type="paragraph" w:styleId="54">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qFormat/>
    <w:uiPriority w:val="0"/>
    <w:pPr>
      <w:ind w:left="420"/>
    </w:pPr>
    <w:rPr>
      <w:rFonts w:ascii="Calibri" w:hAnsi="Calibri" w:eastAsia="楷体_GB2312"/>
      <w:sz w:val="26"/>
      <w:szCs w:val="20"/>
    </w:rPr>
  </w:style>
  <w:style w:type="paragraph" w:styleId="57">
    <w:name w:val="Title"/>
    <w:basedOn w:val="1"/>
    <w:link w:val="111"/>
    <w:qFormat/>
    <w:uiPriority w:val="0"/>
    <w:pPr>
      <w:spacing w:before="240" w:after="60"/>
      <w:jc w:val="center"/>
      <w:outlineLvl w:val="0"/>
    </w:pPr>
    <w:rPr>
      <w:rFonts w:ascii="Arial" w:hAnsi="Arial" w:cs="Arial"/>
      <w:b/>
      <w:bCs/>
      <w:sz w:val="32"/>
      <w:szCs w:val="32"/>
    </w:rPr>
  </w:style>
  <w:style w:type="paragraph" w:styleId="58">
    <w:name w:val="annotation subject"/>
    <w:basedOn w:val="19"/>
    <w:next w:val="19"/>
    <w:link w:val="112"/>
    <w:unhideWhenUsed/>
    <w:qFormat/>
    <w:uiPriority w:val="99"/>
    <w:rPr>
      <w:rFonts w:ascii="Calibri" w:hAnsi="Calibri"/>
      <w:b/>
      <w:bCs/>
      <w:szCs w:val="22"/>
    </w:rPr>
  </w:style>
  <w:style w:type="paragraph" w:styleId="59">
    <w:name w:val="Body Text First Indent"/>
    <w:basedOn w:val="2"/>
    <w:link w:val="113"/>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unhideWhenUsed/>
    <w:qFormat/>
    <w:uiPriority w:val="0"/>
    <w:pPr>
      <w:ind w:firstLine="420" w:firstLineChars="200"/>
    </w:pPr>
  </w:style>
  <w:style w:type="table" w:styleId="62">
    <w:name w:val="Table Grid"/>
    <w:basedOn w:val="6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qFormat/>
    <w:uiPriority w:val="0"/>
    <w:rPr>
      <w:b/>
    </w:rPr>
  </w:style>
  <w:style w:type="character" w:styleId="65">
    <w:name w:val="endnote reference"/>
    <w:qFormat/>
    <w:uiPriority w:val="99"/>
    <w:rPr>
      <w:rFonts w:cs="Times New Roman"/>
      <w:vertAlign w:val="superscript"/>
    </w:rPr>
  </w:style>
  <w:style w:type="character" w:styleId="66">
    <w:name w:val="page number"/>
    <w:basedOn w:val="63"/>
    <w:qFormat/>
    <w:uiPriority w:val="0"/>
  </w:style>
  <w:style w:type="character" w:styleId="67">
    <w:name w:val="FollowedHyperlink"/>
    <w:qFormat/>
    <w:uiPriority w:val="99"/>
    <w:rPr>
      <w:color w:val="333333"/>
      <w:u w:val="none"/>
    </w:rPr>
  </w:style>
  <w:style w:type="character" w:styleId="68">
    <w:name w:val="Emphasis"/>
    <w:qFormat/>
    <w:uiPriority w:val="0"/>
    <w:rPr>
      <w:i/>
      <w:iCs/>
    </w:rPr>
  </w:style>
  <w:style w:type="character" w:styleId="69">
    <w:name w:val="line number"/>
    <w:qFormat/>
    <w:uiPriority w:val="0"/>
  </w:style>
  <w:style w:type="character" w:styleId="70">
    <w:name w:val="HTML Definition"/>
    <w:qFormat/>
    <w:uiPriority w:val="0"/>
    <w:rPr>
      <w:i/>
    </w:rPr>
  </w:style>
  <w:style w:type="character" w:styleId="71">
    <w:name w:val="HTML Typewriter"/>
    <w:qFormat/>
    <w:uiPriority w:val="0"/>
    <w:rPr>
      <w:rFonts w:ascii="黑体" w:hAnsi="Courier New" w:eastAsia="黑体" w:cs="Courier New"/>
      <w:sz w:val="14"/>
      <w:szCs w:val="14"/>
    </w:rPr>
  </w:style>
  <w:style w:type="character" w:styleId="72">
    <w:name w:val="HTML Acronym"/>
    <w:unhideWhenUsed/>
    <w:qFormat/>
    <w:uiPriority w:val="99"/>
  </w:style>
  <w:style w:type="character" w:styleId="73">
    <w:name w:val="Hyperlink"/>
    <w:basedOn w:val="63"/>
    <w:qFormat/>
    <w:uiPriority w:val="99"/>
    <w:rPr>
      <w:rFonts w:hint="eastAsia" w:ascii="宋体" w:hAnsi="宋体" w:eastAsia="宋体"/>
      <w:color w:val="000000"/>
      <w:sz w:val="20"/>
      <w:szCs w:val="20"/>
      <w:u w:val="none"/>
    </w:rPr>
  </w:style>
  <w:style w:type="character" w:styleId="74">
    <w:name w:val="HTML Code"/>
    <w:qFormat/>
    <w:uiPriority w:val="0"/>
    <w:rPr>
      <w:rFonts w:hint="default" w:ascii="Menlo" w:hAnsi="Menlo" w:eastAsia="Menlo" w:cs="Menlo"/>
      <w:color w:val="C7254E"/>
      <w:sz w:val="21"/>
      <w:szCs w:val="21"/>
      <w:shd w:val="clear" w:color="auto" w:fill="F9F2F4"/>
    </w:rPr>
  </w:style>
  <w:style w:type="character" w:styleId="75">
    <w:name w:val="annotation reference"/>
    <w:basedOn w:val="63"/>
    <w:unhideWhenUsed/>
    <w:qFormat/>
    <w:uiPriority w:val="0"/>
    <w:rPr>
      <w:sz w:val="21"/>
      <w:szCs w:val="21"/>
    </w:rPr>
  </w:style>
  <w:style w:type="character" w:styleId="76">
    <w:name w:val="HTML Cite"/>
    <w:qFormat/>
    <w:uiPriority w:val="0"/>
  </w:style>
  <w:style w:type="character" w:styleId="77">
    <w:name w:val="footnote reference"/>
    <w:qFormat/>
    <w:uiPriority w:val="0"/>
    <w:rPr>
      <w:vertAlign w:val="superscript"/>
    </w:rPr>
  </w:style>
  <w:style w:type="character" w:styleId="78">
    <w:name w:val="HTML Keyboard"/>
    <w:qFormat/>
    <w:uiPriority w:val="0"/>
    <w:rPr>
      <w:rFonts w:hint="default" w:ascii="Menlo" w:hAnsi="Menlo" w:eastAsia="Menlo" w:cs="Menlo"/>
      <w:sz w:val="21"/>
      <w:szCs w:val="21"/>
    </w:rPr>
  </w:style>
  <w:style w:type="character" w:styleId="79">
    <w:name w:val="HTML Sample"/>
    <w:qFormat/>
    <w:uiPriority w:val="0"/>
    <w:rPr>
      <w:rFonts w:ascii="Menlo" w:hAnsi="Menlo" w:eastAsia="Menlo" w:cs="Menlo"/>
      <w:sz w:val="21"/>
      <w:szCs w:val="21"/>
    </w:rPr>
  </w:style>
  <w:style w:type="character" w:customStyle="1" w:styleId="80">
    <w:name w:val="标题 1 Char"/>
    <w:basedOn w:val="63"/>
    <w:link w:val="3"/>
    <w:qFormat/>
    <w:uiPriority w:val="0"/>
    <w:rPr>
      <w:b/>
      <w:bCs/>
      <w:kern w:val="44"/>
      <w:sz w:val="32"/>
      <w:szCs w:val="44"/>
    </w:rPr>
  </w:style>
  <w:style w:type="character" w:customStyle="1" w:styleId="81">
    <w:name w:val="标题 2 Char"/>
    <w:basedOn w:val="63"/>
    <w:link w:val="4"/>
    <w:qFormat/>
    <w:uiPriority w:val="0"/>
    <w:rPr>
      <w:b/>
      <w:bCs/>
      <w:color w:val="000000"/>
      <w:kern w:val="2"/>
      <w:sz w:val="28"/>
      <w:szCs w:val="30"/>
    </w:rPr>
  </w:style>
  <w:style w:type="character" w:customStyle="1" w:styleId="82">
    <w:name w:val="标题 3 Char"/>
    <w:basedOn w:val="63"/>
    <w:link w:val="5"/>
    <w:qFormat/>
    <w:uiPriority w:val="0"/>
    <w:rPr>
      <w:rFonts w:ascii="宋体" w:hAnsi="宋体" w:cs="宋体"/>
      <w:b/>
      <w:bCs/>
      <w:sz w:val="27"/>
      <w:szCs w:val="27"/>
    </w:rPr>
  </w:style>
  <w:style w:type="character" w:customStyle="1" w:styleId="83">
    <w:name w:val="标题 4 Char"/>
    <w:basedOn w:val="63"/>
    <w:link w:val="6"/>
    <w:qFormat/>
    <w:uiPriority w:val="0"/>
    <w:rPr>
      <w:rFonts w:ascii="Arial" w:hAnsi="Arial" w:eastAsia="黑体" w:cs="Times New Roman"/>
      <w:b/>
      <w:bCs/>
      <w:kern w:val="2"/>
      <w:sz w:val="28"/>
      <w:szCs w:val="28"/>
    </w:rPr>
  </w:style>
  <w:style w:type="character" w:customStyle="1" w:styleId="84">
    <w:name w:val="标题 5 Char"/>
    <w:basedOn w:val="63"/>
    <w:link w:val="7"/>
    <w:qFormat/>
    <w:uiPriority w:val="0"/>
    <w:rPr>
      <w:rFonts w:ascii="宋体" w:hAnsi="Calibri"/>
      <w:b/>
      <w:spacing w:val="-2"/>
      <w:kern w:val="2"/>
      <w:position w:val="-6"/>
      <w:sz w:val="28"/>
    </w:rPr>
  </w:style>
  <w:style w:type="character" w:customStyle="1" w:styleId="85">
    <w:name w:val="正文缩进 Char"/>
    <w:link w:val="8"/>
    <w:qFormat/>
    <w:uiPriority w:val="0"/>
    <w:rPr>
      <w:sz w:val="24"/>
      <w:szCs w:val="24"/>
    </w:rPr>
  </w:style>
  <w:style w:type="character" w:customStyle="1" w:styleId="86">
    <w:name w:val="标题 6 Char"/>
    <w:basedOn w:val="63"/>
    <w:link w:val="9"/>
    <w:qFormat/>
    <w:uiPriority w:val="0"/>
    <w:rPr>
      <w:rFonts w:ascii="Arial" w:hAnsi="Arial" w:eastAsia="黑体"/>
      <w:b/>
      <w:spacing w:val="-2"/>
      <w:kern w:val="2"/>
      <w:position w:val="-6"/>
      <w:sz w:val="24"/>
    </w:rPr>
  </w:style>
  <w:style w:type="character" w:customStyle="1" w:styleId="87">
    <w:name w:val="标题 7 Char"/>
    <w:basedOn w:val="63"/>
    <w:link w:val="10"/>
    <w:qFormat/>
    <w:uiPriority w:val="99"/>
    <w:rPr>
      <w:rFonts w:ascii="宋体" w:hAnsi="Calibri"/>
      <w:b/>
      <w:spacing w:val="-2"/>
      <w:kern w:val="2"/>
      <w:position w:val="-6"/>
      <w:sz w:val="24"/>
    </w:rPr>
  </w:style>
  <w:style w:type="character" w:customStyle="1" w:styleId="88">
    <w:name w:val="标题 8 Char"/>
    <w:basedOn w:val="63"/>
    <w:link w:val="11"/>
    <w:qFormat/>
    <w:uiPriority w:val="99"/>
    <w:rPr>
      <w:rFonts w:ascii="Arial" w:hAnsi="Arial" w:eastAsia="黑体"/>
      <w:spacing w:val="-2"/>
      <w:kern w:val="2"/>
      <w:position w:val="-6"/>
      <w:sz w:val="24"/>
    </w:rPr>
  </w:style>
  <w:style w:type="character" w:customStyle="1" w:styleId="89">
    <w:name w:val="标题 9 Char"/>
    <w:basedOn w:val="63"/>
    <w:link w:val="12"/>
    <w:qFormat/>
    <w:uiPriority w:val="99"/>
    <w:rPr>
      <w:rFonts w:ascii="Arial" w:hAnsi="Arial" w:eastAsia="黑体"/>
      <w:spacing w:val="-2"/>
      <w:kern w:val="2"/>
      <w:position w:val="-6"/>
      <w:sz w:val="28"/>
    </w:rPr>
  </w:style>
  <w:style w:type="character" w:customStyle="1" w:styleId="90">
    <w:name w:val="文档结构图 Char"/>
    <w:basedOn w:val="63"/>
    <w:link w:val="17"/>
    <w:qFormat/>
    <w:uiPriority w:val="0"/>
    <w:rPr>
      <w:rFonts w:ascii="宋体" w:hAnsi="Calibri" w:cs="Times New Roman"/>
      <w:kern w:val="2"/>
      <w:sz w:val="18"/>
      <w:szCs w:val="18"/>
    </w:rPr>
  </w:style>
  <w:style w:type="character" w:customStyle="1" w:styleId="91">
    <w:name w:val="批注文字 Char"/>
    <w:basedOn w:val="63"/>
    <w:link w:val="19"/>
    <w:qFormat/>
    <w:uiPriority w:val="99"/>
    <w:rPr>
      <w:kern w:val="2"/>
      <w:sz w:val="21"/>
      <w:szCs w:val="24"/>
    </w:rPr>
  </w:style>
  <w:style w:type="character" w:customStyle="1" w:styleId="92">
    <w:name w:val="称呼 Char"/>
    <w:basedOn w:val="63"/>
    <w:link w:val="21"/>
    <w:qFormat/>
    <w:uiPriority w:val="99"/>
    <w:rPr>
      <w:sz w:val="30"/>
    </w:rPr>
  </w:style>
  <w:style w:type="character" w:customStyle="1" w:styleId="93">
    <w:name w:val="正文文本 3 Char"/>
    <w:basedOn w:val="63"/>
    <w:link w:val="22"/>
    <w:qFormat/>
    <w:uiPriority w:val="99"/>
    <w:rPr>
      <w:color w:val="000000"/>
      <w:kern w:val="2"/>
      <w:sz w:val="24"/>
    </w:rPr>
  </w:style>
  <w:style w:type="character" w:customStyle="1" w:styleId="94">
    <w:name w:val="正文文本 Char"/>
    <w:basedOn w:val="63"/>
    <w:link w:val="2"/>
    <w:qFormat/>
    <w:uiPriority w:val="0"/>
    <w:rPr>
      <w:rFonts w:eastAsia="仿宋_GB2312"/>
      <w:kern w:val="2"/>
      <w:sz w:val="23"/>
      <w:szCs w:val="24"/>
    </w:rPr>
  </w:style>
  <w:style w:type="character" w:customStyle="1" w:styleId="95">
    <w:name w:val="正文文本缩进 Char"/>
    <w:basedOn w:val="63"/>
    <w:link w:val="23"/>
    <w:qFormat/>
    <w:uiPriority w:val="99"/>
    <w:rPr>
      <w:rFonts w:ascii="Calibri" w:hAnsi="Calibri" w:eastAsia="宋体" w:cs="Times New Roman"/>
      <w:kern w:val="2"/>
      <w:sz w:val="21"/>
      <w:szCs w:val="22"/>
    </w:rPr>
  </w:style>
  <w:style w:type="character" w:customStyle="1" w:styleId="96">
    <w:name w:val="目录 3 Char"/>
    <w:link w:val="27"/>
    <w:qFormat/>
    <w:uiPriority w:val="39"/>
    <w:rPr>
      <w:rFonts w:ascii="Calibri" w:hAnsi="Calibri"/>
      <w:kern w:val="2"/>
      <w:sz w:val="21"/>
    </w:rPr>
  </w:style>
  <w:style w:type="character" w:customStyle="1" w:styleId="97">
    <w:name w:val="纯文本 Char"/>
    <w:link w:val="28"/>
    <w:qFormat/>
    <w:uiPriority w:val="0"/>
    <w:rPr>
      <w:rFonts w:ascii="宋体" w:hAnsi="Courier New"/>
      <w:kern w:val="2"/>
      <w:sz w:val="21"/>
      <w:szCs w:val="21"/>
    </w:rPr>
  </w:style>
  <w:style w:type="character" w:customStyle="1" w:styleId="98">
    <w:name w:val="日期 Char"/>
    <w:basedOn w:val="63"/>
    <w:link w:val="31"/>
    <w:qFormat/>
    <w:uiPriority w:val="99"/>
    <w:rPr>
      <w:rFonts w:ascii="宋体" w:hAnsi="宋体" w:eastAsia="楷体_GB2312"/>
      <w:kern w:val="2"/>
      <w:sz w:val="24"/>
    </w:rPr>
  </w:style>
  <w:style w:type="character" w:customStyle="1" w:styleId="99">
    <w:name w:val="正文文本缩进 2 Char"/>
    <w:basedOn w:val="63"/>
    <w:link w:val="32"/>
    <w:qFormat/>
    <w:uiPriority w:val="99"/>
    <w:rPr>
      <w:rFonts w:ascii="宋体" w:hAnsi="Calibri"/>
      <w:b/>
      <w:bCs/>
      <w:kern w:val="2"/>
      <w:sz w:val="24"/>
    </w:rPr>
  </w:style>
  <w:style w:type="character" w:customStyle="1" w:styleId="100">
    <w:name w:val="尾注文本 Char"/>
    <w:basedOn w:val="63"/>
    <w:link w:val="33"/>
    <w:qFormat/>
    <w:uiPriority w:val="99"/>
    <w:rPr>
      <w:kern w:val="2"/>
      <w:sz w:val="21"/>
      <w:szCs w:val="24"/>
    </w:rPr>
  </w:style>
  <w:style w:type="character" w:customStyle="1" w:styleId="101">
    <w:name w:val="批注框文本 Char"/>
    <w:basedOn w:val="63"/>
    <w:link w:val="34"/>
    <w:qFormat/>
    <w:uiPriority w:val="99"/>
    <w:rPr>
      <w:rFonts w:ascii="Calibri" w:hAnsi="Calibri" w:eastAsia="宋体" w:cs="Times New Roman"/>
      <w:kern w:val="2"/>
      <w:sz w:val="18"/>
      <w:szCs w:val="18"/>
    </w:rPr>
  </w:style>
  <w:style w:type="character" w:customStyle="1" w:styleId="102">
    <w:name w:val="页脚 Char"/>
    <w:basedOn w:val="63"/>
    <w:link w:val="35"/>
    <w:qFormat/>
    <w:uiPriority w:val="99"/>
    <w:rPr>
      <w:kern w:val="2"/>
      <w:sz w:val="18"/>
      <w:szCs w:val="24"/>
    </w:rPr>
  </w:style>
  <w:style w:type="character" w:customStyle="1" w:styleId="103">
    <w:name w:val="页眉 Char"/>
    <w:basedOn w:val="63"/>
    <w:link w:val="37"/>
    <w:qFormat/>
    <w:uiPriority w:val="99"/>
    <w:rPr>
      <w:kern w:val="2"/>
      <w:sz w:val="18"/>
      <w:szCs w:val="18"/>
    </w:rPr>
  </w:style>
  <w:style w:type="character" w:customStyle="1" w:styleId="104">
    <w:name w:val="签名 Char"/>
    <w:basedOn w:val="63"/>
    <w:link w:val="38"/>
    <w:qFormat/>
    <w:uiPriority w:val="0"/>
    <w:rPr>
      <w:rFonts w:ascii="Calibri" w:hAnsi="Calibri" w:eastAsia="仿宋_GB2312"/>
      <w:sz w:val="24"/>
    </w:rPr>
  </w:style>
  <w:style w:type="character" w:customStyle="1" w:styleId="105">
    <w:name w:val="副标题 Char"/>
    <w:basedOn w:val="63"/>
    <w:link w:val="43"/>
    <w:qFormat/>
    <w:uiPriority w:val="0"/>
    <w:rPr>
      <w:rFonts w:ascii="Cambria" w:hAnsi="Cambria"/>
      <w:b/>
      <w:kern w:val="28"/>
      <w:sz w:val="32"/>
    </w:rPr>
  </w:style>
  <w:style w:type="character" w:customStyle="1" w:styleId="106">
    <w:name w:val="脚注文本 Char"/>
    <w:basedOn w:val="63"/>
    <w:link w:val="45"/>
    <w:qFormat/>
    <w:uiPriority w:val="99"/>
    <w:rPr>
      <w:rFonts w:ascii="Calibri" w:hAnsi="Calibri" w:eastAsia="楷体_GB2312"/>
      <w:kern w:val="2"/>
      <w:sz w:val="18"/>
    </w:rPr>
  </w:style>
  <w:style w:type="character" w:customStyle="1" w:styleId="107">
    <w:name w:val="正文文本缩进 3 Char"/>
    <w:basedOn w:val="63"/>
    <w:link w:val="47"/>
    <w:qFormat/>
    <w:uiPriority w:val="99"/>
    <w:rPr>
      <w:rFonts w:ascii="Calibri" w:hAnsi="Calibri"/>
      <w:kern w:val="2"/>
      <w:sz w:val="24"/>
      <w:szCs w:val="24"/>
    </w:rPr>
  </w:style>
  <w:style w:type="character" w:customStyle="1" w:styleId="108">
    <w:name w:val="正文文本 2 Char"/>
    <w:basedOn w:val="63"/>
    <w:link w:val="53"/>
    <w:qFormat/>
    <w:uiPriority w:val="99"/>
    <w:rPr>
      <w:kern w:val="2"/>
      <w:sz w:val="21"/>
      <w:szCs w:val="24"/>
    </w:rPr>
  </w:style>
  <w:style w:type="character" w:customStyle="1" w:styleId="109">
    <w:name w:val="HTML 预设格式 Char"/>
    <w:basedOn w:val="63"/>
    <w:link w:val="54"/>
    <w:qFormat/>
    <w:uiPriority w:val="0"/>
    <w:rPr>
      <w:rFonts w:ascii="黑体" w:hAnsi="Courier New" w:eastAsia="黑体" w:cs="楷体_GB2312"/>
    </w:rPr>
  </w:style>
  <w:style w:type="character" w:customStyle="1" w:styleId="110">
    <w:name w:val="普通(网站) Char"/>
    <w:link w:val="55"/>
    <w:qFormat/>
    <w:uiPriority w:val="99"/>
    <w:rPr>
      <w:rFonts w:ascii="宋体" w:hAnsi="宋体" w:cs="宋体"/>
      <w:sz w:val="24"/>
      <w:szCs w:val="24"/>
    </w:rPr>
  </w:style>
  <w:style w:type="character" w:customStyle="1" w:styleId="111">
    <w:name w:val="标题 Char"/>
    <w:basedOn w:val="63"/>
    <w:link w:val="57"/>
    <w:qFormat/>
    <w:uiPriority w:val="0"/>
    <w:rPr>
      <w:rFonts w:ascii="Arial" w:hAnsi="Arial" w:cs="Arial"/>
      <w:b/>
      <w:bCs/>
      <w:kern w:val="2"/>
      <w:sz w:val="32"/>
      <w:szCs w:val="32"/>
    </w:rPr>
  </w:style>
  <w:style w:type="character" w:customStyle="1" w:styleId="112">
    <w:name w:val="批注主题 Char"/>
    <w:basedOn w:val="91"/>
    <w:link w:val="58"/>
    <w:qFormat/>
    <w:uiPriority w:val="99"/>
    <w:rPr>
      <w:rFonts w:ascii="Calibri" w:hAnsi="Calibri" w:eastAsia="宋体" w:cs="Times New Roman"/>
      <w:b/>
      <w:bCs/>
      <w:szCs w:val="22"/>
    </w:rPr>
  </w:style>
  <w:style w:type="character" w:customStyle="1" w:styleId="113">
    <w:name w:val="正文首行缩进 Char"/>
    <w:basedOn w:val="94"/>
    <w:link w:val="59"/>
    <w:qFormat/>
    <w:uiPriority w:val="0"/>
    <w:rPr>
      <w:rFonts w:ascii="Calibri" w:hAnsi="Calibri" w:eastAsia="楷体_GB2312"/>
      <w:sz w:val="26"/>
    </w:rPr>
  </w:style>
  <w:style w:type="character" w:customStyle="1" w:styleId="114">
    <w:name w:val="正文首行缩进 2 Char"/>
    <w:basedOn w:val="95"/>
    <w:link w:val="60"/>
    <w:qFormat/>
    <w:uiPriority w:val="0"/>
  </w:style>
  <w:style w:type="character" w:customStyle="1" w:styleId="115">
    <w:name w:val="尾注文本 Char3"/>
    <w:link w:val="33"/>
    <w:qFormat/>
    <w:uiPriority w:val="99"/>
    <w:rPr>
      <w:kern w:val="2"/>
      <w:sz w:val="21"/>
      <w:szCs w:val="24"/>
    </w:rPr>
  </w:style>
  <w:style w:type="paragraph" w:customStyle="1" w:styleId="116">
    <w:name w:val="新正文"/>
    <w:basedOn w:val="1"/>
    <w:next w:val="1"/>
    <w:qFormat/>
    <w:uiPriority w:val="99"/>
    <w:pPr>
      <w:adjustRightInd w:val="0"/>
      <w:snapToGrid w:val="0"/>
      <w:spacing w:line="440" w:lineRule="atLeast"/>
    </w:pPr>
    <w:rPr>
      <w:rFonts w:ascii="宋体" w:hAnsi="宋体"/>
      <w:color w:val="000000"/>
      <w:sz w:val="24"/>
    </w:rPr>
  </w:style>
  <w:style w:type="character" w:customStyle="1" w:styleId="117">
    <w:name w:val="Variable"/>
    <w:qFormat/>
    <w:uiPriority w:val="0"/>
    <w:rPr>
      <w:i/>
    </w:rPr>
  </w:style>
  <w:style w:type="paragraph" w:customStyle="1" w:styleId="118">
    <w:name w:val="Address"/>
    <w:basedOn w:val="1"/>
    <w:next w:val="1"/>
    <w:qFormat/>
    <w:uiPriority w:val="99"/>
    <w:pPr>
      <w:autoSpaceDE w:val="0"/>
      <w:autoSpaceDN w:val="0"/>
      <w:adjustRightInd w:val="0"/>
      <w:jc w:val="left"/>
    </w:pPr>
    <w:rPr>
      <w:i/>
      <w:kern w:val="0"/>
      <w:sz w:val="24"/>
      <w:szCs w:val="20"/>
    </w:rPr>
  </w:style>
  <w:style w:type="paragraph" w:customStyle="1" w:styleId="119">
    <w:name w:val="flType"/>
    <w:basedOn w:val="1"/>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qFormat/>
    <w:uiPriority w:val="0"/>
    <w:pPr>
      <w:widowControl/>
      <w:ind w:firstLine="420"/>
      <w:jc w:val="left"/>
    </w:pPr>
    <w:rPr>
      <w:rFonts w:ascii="Calibri" w:hAnsi="Calibri"/>
      <w:kern w:val="0"/>
      <w:szCs w:val="22"/>
    </w:rPr>
  </w:style>
  <w:style w:type="character" w:customStyle="1" w:styleId="123">
    <w:name w:val="NormalCharacter"/>
    <w:qFormat/>
    <w:uiPriority w:val="0"/>
    <w:rPr>
      <w:rFonts w:ascii="Times New Roman" w:hAnsi="Times New Roman" w:eastAsia="宋体" w:cs="Times New Roman"/>
    </w:rPr>
  </w:style>
  <w:style w:type="paragraph" w:customStyle="1" w:styleId="12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qFormat/>
    <w:uiPriority w:val="99"/>
    <w:pPr>
      <w:ind w:firstLine="420" w:firstLineChars="200"/>
    </w:pPr>
    <w:rPr>
      <w:szCs w:val="22"/>
    </w:rPr>
  </w:style>
  <w:style w:type="table" w:customStyle="1" w:styleId="126">
    <w:name w:val="网格型1"/>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qFormat/>
    <w:uiPriority w:val="99"/>
    <w:pPr>
      <w:widowControl/>
      <w:spacing w:before="280" w:after="280"/>
    </w:pPr>
    <w:rPr>
      <w:rFonts w:ascii="宋体" w:hAnsi="Calibri" w:eastAsia="楷体_GB2312"/>
      <w:sz w:val="18"/>
      <w:szCs w:val="20"/>
    </w:rPr>
  </w:style>
  <w:style w:type="paragraph" w:customStyle="1" w:styleId="129">
    <w:name w:val="2"/>
    <w:next w:val="1"/>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qFormat/>
    <w:uiPriority w:val="0"/>
    <w:rPr>
      <w:rFonts w:ascii="Times New Roman" w:hAnsi="Times New Roman" w:eastAsia="宋体" w:cs="Times New Roman"/>
      <w:kern w:val="2"/>
      <w:sz w:val="21"/>
      <w:szCs w:val="22"/>
    </w:rPr>
  </w:style>
  <w:style w:type="table" w:customStyle="1" w:styleId="131">
    <w:name w:val="网格型3"/>
    <w:basedOn w:val="61"/>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qFormat/>
    <w:uiPriority w:val="0"/>
    <w:rPr>
      <w:rFonts w:eastAsia="楷体_GB2312"/>
      <w:kern w:val="2"/>
      <w:sz w:val="26"/>
    </w:rPr>
  </w:style>
  <w:style w:type="character" w:customStyle="1" w:styleId="133">
    <w:name w:val="Char Char4"/>
    <w:qFormat/>
    <w:uiPriority w:val="0"/>
    <w:rPr>
      <w:rFonts w:ascii="方正仿宋简体" w:hAnsi="创艺简仿宋" w:eastAsia="方正仿宋简体"/>
      <w:kern w:val="2"/>
      <w:sz w:val="24"/>
      <w:lang w:val="en-US" w:eastAsia="zh-CN" w:bidi="ar-SA"/>
    </w:rPr>
  </w:style>
  <w:style w:type="character" w:customStyle="1" w:styleId="134">
    <w:name w:val="state"/>
    <w:qFormat/>
    <w:uiPriority w:val="0"/>
    <w:rPr>
      <w:b/>
      <w:color w:val="FFFFFF"/>
      <w:sz w:val="19"/>
      <w:szCs w:val="19"/>
    </w:rPr>
  </w:style>
  <w:style w:type="character" w:customStyle="1" w:styleId="135">
    <w:name w:val="bds_more6"/>
    <w:qFormat/>
    <w:uiPriority w:val="0"/>
  </w:style>
  <w:style w:type="character" w:customStyle="1" w:styleId="136">
    <w:name w:val="hilite"/>
    <w:qFormat/>
    <w:uiPriority w:val="0"/>
    <w:rPr>
      <w:color w:val="FFFFFF"/>
      <w:shd w:val="clear" w:color="auto" w:fill="776666"/>
    </w:rPr>
  </w:style>
  <w:style w:type="character" w:customStyle="1" w:styleId="137">
    <w:name w:val="bds_nopic"/>
    <w:qFormat/>
    <w:uiPriority w:val="0"/>
  </w:style>
  <w:style w:type="character" w:customStyle="1" w:styleId="138">
    <w:name w:val="Char Char2"/>
    <w:qFormat/>
    <w:uiPriority w:val="0"/>
    <w:rPr>
      <w:rFonts w:ascii="宋体" w:hAnsi="宋体" w:eastAsia="楷体_GB2312"/>
      <w:b/>
      <w:kern w:val="2"/>
      <w:sz w:val="26"/>
      <w:lang w:val="en-US" w:eastAsia="zh-CN" w:bidi="ar-SA"/>
    </w:rPr>
  </w:style>
  <w:style w:type="character" w:customStyle="1" w:styleId="139">
    <w:name w:val="hover61"/>
    <w:qFormat/>
    <w:uiPriority w:val="0"/>
    <w:rPr>
      <w:shd w:val="clear" w:color="auto" w:fill="FF0000"/>
    </w:rPr>
  </w:style>
  <w:style w:type="character" w:customStyle="1" w:styleId="140">
    <w:name w:val="font51"/>
    <w:qFormat/>
    <w:uiPriority w:val="99"/>
    <w:rPr>
      <w:rFonts w:hint="eastAsia" w:ascii="宋体" w:hAnsi="宋体" w:eastAsia="宋体" w:cs="宋体"/>
      <w:color w:val="FF0000"/>
      <w:sz w:val="20"/>
      <w:szCs w:val="20"/>
      <w:u w:val="none"/>
    </w:rPr>
  </w:style>
  <w:style w:type="character" w:customStyle="1" w:styleId="141">
    <w:name w:val="grid"/>
    <w:qFormat/>
    <w:uiPriority w:val="0"/>
  </w:style>
  <w:style w:type="character" w:customStyle="1" w:styleId="142">
    <w:name w:val="bds_more7"/>
    <w:qFormat/>
    <w:uiPriority w:val="0"/>
  </w:style>
  <w:style w:type="character" w:customStyle="1" w:styleId="143">
    <w:name w:val="bds_more8"/>
    <w:qFormat/>
    <w:uiPriority w:val="0"/>
    <w:rPr>
      <w:rFonts w:hint="eastAsia" w:ascii="宋体" w:hAnsi="宋体" w:eastAsia="宋体" w:cs="宋体"/>
    </w:rPr>
  </w:style>
  <w:style w:type="character" w:customStyle="1" w:styleId="144">
    <w:name w:val="bds_more4"/>
    <w:qFormat/>
    <w:uiPriority w:val="0"/>
    <w:rPr>
      <w:rFonts w:hint="eastAsia" w:ascii="宋体" w:hAnsi="宋体" w:eastAsia="宋体" w:cs="宋体"/>
    </w:rPr>
  </w:style>
  <w:style w:type="character" w:customStyle="1" w:styleId="145">
    <w:name w:val="bds_nopic1"/>
    <w:qFormat/>
    <w:uiPriority w:val="0"/>
  </w:style>
  <w:style w:type="character" w:customStyle="1" w:styleId="146">
    <w:name w:val="hilite6"/>
    <w:qFormat/>
    <w:uiPriority w:val="0"/>
    <w:rPr>
      <w:color w:val="FFFFFF"/>
      <w:shd w:val="clear" w:color="auto" w:fill="776666"/>
    </w:rPr>
  </w:style>
  <w:style w:type="character" w:customStyle="1" w:styleId="147">
    <w:name w:val="正文缩进2格 Char Char"/>
    <w:link w:val="148"/>
    <w:qFormat/>
    <w:uiPriority w:val="0"/>
    <w:rPr>
      <w:rFonts w:ascii="仿宋_GB2312" w:hAnsi="宋体" w:eastAsia="仿宋_GB2312"/>
      <w:kern w:val="2"/>
      <w:sz w:val="31"/>
      <w:szCs w:val="28"/>
    </w:rPr>
  </w:style>
  <w:style w:type="paragraph" w:customStyle="1" w:styleId="148">
    <w:name w:val="正文缩进2格"/>
    <w:basedOn w:val="1"/>
    <w:link w:val="147"/>
    <w:qFormat/>
    <w:uiPriority w:val="0"/>
    <w:pPr>
      <w:spacing w:line="600" w:lineRule="exact"/>
      <w:ind w:firstLine="639" w:firstLineChars="206"/>
    </w:pPr>
    <w:rPr>
      <w:rFonts w:ascii="仿宋_GB2312" w:hAnsi="宋体" w:eastAsia="仿宋_GB2312"/>
      <w:sz w:val="31"/>
      <w:szCs w:val="28"/>
    </w:rPr>
  </w:style>
  <w:style w:type="character" w:customStyle="1" w:styleId="149">
    <w:name w:val="grid2"/>
    <w:qFormat/>
    <w:uiPriority w:val="0"/>
  </w:style>
  <w:style w:type="character" w:customStyle="1" w:styleId="150">
    <w:name w:val="other"/>
    <w:qFormat/>
    <w:uiPriority w:val="0"/>
  </w:style>
  <w:style w:type="character" w:customStyle="1" w:styleId="151">
    <w:name w:val="font01"/>
    <w:qFormat/>
    <w:uiPriority w:val="0"/>
    <w:rPr>
      <w:rFonts w:hint="eastAsia" w:ascii="宋体" w:hAnsi="宋体" w:eastAsia="宋体" w:cs="宋体"/>
      <w:b/>
      <w:color w:val="000000"/>
      <w:sz w:val="20"/>
      <w:szCs w:val="20"/>
      <w:u w:val="none"/>
    </w:rPr>
  </w:style>
  <w:style w:type="character" w:customStyle="1" w:styleId="152">
    <w:name w:val="noused"/>
    <w:qFormat/>
    <w:uiPriority w:val="0"/>
    <w:rPr>
      <w:b/>
      <w:color w:val="FFFFFF"/>
      <w:sz w:val="21"/>
      <w:szCs w:val="21"/>
    </w:rPr>
  </w:style>
  <w:style w:type="character" w:customStyle="1" w:styleId="153">
    <w:name w:val="active8"/>
    <w:qFormat/>
    <w:uiPriority w:val="0"/>
    <w:rPr>
      <w:color w:val="00FF00"/>
      <w:shd w:val="clear" w:color="auto" w:fill="000000"/>
    </w:rPr>
  </w:style>
  <w:style w:type="character" w:customStyle="1" w:styleId="154">
    <w:name w:val="font61"/>
    <w:qFormat/>
    <w:uiPriority w:val="0"/>
    <w:rPr>
      <w:rFonts w:hint="eastAsia" w:ascii="宋体" w:hAnsi="宋体" w:eastAsia="宋体" w:cs="宋体"/>
      <w:color w:val="000000"/>
      <w:sz w:val="20"/>
      <w:szCs w:val="20"/>
      <w:u w:val="none"/>
    </w:rPr>
  </w:style>
  <w:style w:type="character" w:customStyle="1" w:styleId="155">
    <w:name w:val="bds_more5"/>
    <w:qFormat/>
    <w:uiPriority w:val="0"/>
  </w:style>
  <w:style w:type="character" w:customStyle="1" w:styleId="156">
    <w:name w:val="bds_nopic2"/>
    <w:qFormat/>
    <w:uiPriority w:val="0"/>
  </w:style>
  <w:style w:type="character" w:customStyle="1" w:styleId="157">
    <w:name w:val="active"/>
    <w:qFormat/>
    <w:uiPriority w:val="0"/>
    <w:rPr>
      <w:color w:val="00FF00"/>
      <w:shd w:val="clear" w:color="auto" w:fill="000000"/>
    </w:rPr>
  </w:style>
  <w:style w:type="character" w:customStyle="1" w:styleId="158">
    <w:name w:val="列出段落 Char"/>
    <w:link w:val="159"/>
    <w:qFormat/>
    <w:uiPriority w:val="34"/>
    <w:rPr>
      <w:kern w:val="2"/>
      <w:sz w:val="21"/>
      <w:szCs w:val="24"/>
    </w:rPr>
  </w:style>
  <w:style w:type="paragraph" w:styleId="159">
    <w:name w:val="List Paragraph"/>
    <w:basedOn w:val="1"/>
    <w:link w:val="158"/>
    <w:qFormat/>
    <w:uiPriority w:val="34"/>
    <w:pPr>
      <w:ind w:firstLine="420" w:firstLineChars="200"/>
    </w:pPr>
  </w:style>
  <w:style w:type="character" w:customStyle="1" w:styleId="160">
    <w:name w:val="font41"/>
    <w:qFormat/>
    <w:uiPriority w:val="0"/>
    <w:rPr>
      <w:rFonts w:hint="eastAsia" w:ascii="宋体" w:hAnsi="宋体" w:eastAsia="宋体" w:cs="宋体"/>
      <w:color w:val="000000"/>
      <w:sz w:val="20"/>
      <w:szCs w:val="20"/>
      <w:u w:val="none"/>
    </w:rPr>
  </w:style>
  <w:style w:type="character" w:customStyle="1" w:styleId="161">
    <w:name w:val="font11"/>
    <w:qFormat/>
    <w:uiPriority w:val="0"/>
    <w:rPr>
      <w:rFonts w:ascii="宋体" w:hAnsi="宋体" w:eastAsia="宋体"/>
      <w:color w:val="000000"/>
      <w:sz w:val="28"/>
      <w:u w:val="none"/>
    </w:rPr>
  </w:style>
  <w:style w:type="character" w:customStyle="1" w:styleId="162">
    <w:name w:val="font81"/>
    <w:qFormat/>
    <w:uiPriority w:val="0"/>
    <w:rPr>
      <w:rFonts w:ascii="宋体" w:hAnsi="宋体" w:eastAsia="宋体"/>
      <w:b/>
      <w:color w:val="000000"/>
      <w:sz w:val="18"/>
      <w:u w:val="none"/>
    </w:rPr>
  </w:style>
  <w:style w:type="character" w:customStyle="1" w:styleId="163">
    <w:name w:val="font71"/>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qFormat/>
    <w:uiPriority w:val="99"/>
    <w:rPr>
      <w:rFonts w:eastAsia="楷体_GB2312"/>
      <w:kern w:val="2"/>
      <w:sz w:val="26"/>
    </w:rPr>
  </w:style>
  <w:style w:type="character" w:customStyle="1" w:styleId="165">
    <w:name w:val="font101"/>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qFormat/>
    <w:uiPriority w:val="0"/>
    <w:rPr>
      <w:rFonts w:eastAsia="楷体_GB2312"/>
      <w:kern w:val="2"/>
      <w:sz w:val="26"/>
      <w:szCs w:val="26"/>
    </w:rPr>
  </w:style>
  <w:style w:type="character" w:customStyle="1" w:styleId="167">
    <w:name w:val="Balloon Text Char"/>
    <w:qFormat/>
    <w:locked/>
    <w:uiPriority w:val="0"/>
    <w:rPr>
      <w:rFonts w:eastAsia="宋体"/>
      <w:kern w:val="2"/>
      <w:sz w:val="18"/>
      <w:lang w:val="en-US" w:eastAsia="zh-CN"/>
    </w:rPr>
  </w:style>
  <w:style w:type="character" w:customStyle="1" w:styleId="168">
    <w:name w:val="font21"/>
    <w:qFormat/>
    <w:uiPriority w:val="0"/>
    <w:rPr>
      <w:rFonts w:hint="eastAsia" w:ascii="宋体" w:hAnsi="宋体" w:eastAsia="宋体" w:cs="宋体"/>
      <w:b/>
      <w:color w:val="000000"/>
      <w:sz w:val="20"/>
      <w:szCs w:val="20"/>
      <w:u w:val="none"/>
    </w:rPr>
  </w:style>
  <w:style w:type="character" w:customStyle="1" w:styleId="169">
    <w:name w:val="font31"/>
    <w:qFormat/>
    <w:uiPriority w:val="0"/>
    <w:rPr>
      <w:rFonts w:ascii="宋体" w:hAnsi="宋体" w:eastAsia="宋体"/>
      <w:color w:val="000000"/>
      <w:sz w:val="20"/>
      <w:u w:val="none"/>
    </w:rPr>
  </w:style>
  <w:style w:type="character" w:customStyle="1" w:styleId="170">
    <w:name w:val="Body Text Indent Char"/>
    <w:qFormat/>
    <w:locked/>
    <w:uiPriority w:val="0"/>
    <w:rPr>
      <w:rFonts w:ascii="方正仿宋简体" w:hAnsi="创艺简仿宋" w:eastAsia="方正仿宋简体"/>
      <w:kern w:val="2"/>
      <w:sz w:val="24"/>
    </w:rPr>
  </w:style>
  <w:style w:type="character" w:customStyle="1" w:styleId="171">
    <w:name w:val="Header Char1"/>
    <w:qFormat/>
    <w:locked/>
    <w:uiPriority w:val="0"/>
    <w:rPr>
      <w:rFonts w:eastAsia="楷体_GB2312"/>
      <w:kern w:val="2"/>
      <w:sz w:val="18"/>
    </w:rPr>
  </w:style>
  <w:style w:type="character" w:customStyle="1" w:styleId="172">
    <w:name w:val="Header Char"/>
    <w:qFormat/>
    <w:locked/>
    <w:uiPriority w:val="0"/>
    <w:rPr>
      <w:kern w:val="2"/>
      <w:sz w:val="18"/>
    </w:rPr>
  </w:style>
  <w:style w:type="character" w:customStyle="1" w:styleId="173">
    <w:name w:val="正文文本缩进 Char2"/>
    <w:qFormat/>
    <w:uiPriority w:val="0"/>
    <w:rPr>
      <w:rFonts w:eastAsia="楷体_GB2312"/>
      <w:kern w:val="2"/>
      <w:sz w:val="26"/>
      <w:szCs w:val="26"/>
    </w:rPr>
  </w:style>
  <w:style w:type="paragraph" w:customStyle="1" w:styleId="174">
    <w:name w:val="p0"/>
    <w:basedOn w:val="1"/>
    <w:qFormat/>
    <w:uiPriority w:val="99"/>
    <w:pPr>
      <w:widowControl/>
    </w:pPr>
    <w:rPr>
      <w:rFonts w:ascii="Calibri" w:hAnsi="Calibri"/>
      <w:kern w:val="0"/>
      <w:szCs w:val="21"/>
    </w:rPr>
  </w:style>
  <w:style w:type="paragraph" w:customStyle="1" w:styleId="175">
    <w:name w:val="纯文本1"/>
    <w:basedOn w:val="1"/>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7"/>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qFormat/>
    <w:uiPriority w:val="0"/>
    <w:rPr>
      <w:rFonts w:ascii="Tahoma" w:hAnsi="Tahoma" w:eastAsia="楷体_GB2312"/>
      <w:sz w:val="24"/>
      <w:szCs w:val="20"/>
    </w:rPr>
  </w:style>
  <w:style w:type="paragraph" w:customStyle="1" w:styleId="178">
    <w:name w:val="Char"/>
    <w:basedOn w:val="1"/>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qFormat/>
    <w:uiPriority w:val="99"/>
    <w:rPr>
      <w:rFonts w:ascii="Tahoma" w:hAnsi="Tahoma"/>
      <w:sz w:val="24"/>
      <w:szCs w:val="20"/>
    </w:rPr>
  </w:style>
  <w:style w:type="paragraph" w:customStyle="1" w:styleId="180">
    <w:name w:val="图"/>
    <w:basedOn w:val="1"/>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qFormat/>
    <w:uiPriority w:val="0"/>
    <w:pPr>
      <w:adjustRightInd w:val="0"/>
      <w:textAlignment w:val="baseline"/>
    </w:pPr>
    <w:rPr>
      <w:rFonts w:ascii="宋体" w:hAnsi="Courier New" w:eastAsia="楷体_GB2312"/>
      <w:sz w:val="26"/>
      <w:szCs w:val="20"/>
    </w:rPr>
  </w:style>
  <w:style w:type="paragraph" w:customStyle="1" w:styleId="18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qFormat/>
    <w:uiPriority w:val="0"/>
    <w:pPr>
      <w:ind w:firstLine="420" w:firstLineChars="200"/>
    </w:pPr>
    <w:rPr>
      <w:rFonts w:ascii="Calibri" w:hAnsi="Calibri"/>
      <w:sz w:val="26"/>
      <w:szCs w:val="26"/>
    </w:rPr>
  </w:style>
  <w:style w:type="paragraph" w:customStyle="1" w:styleId="216">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qFormat/>
    <w:uiPriority w:val="0"/>
    <w:pPr>
      <w:ind w:firstLine="420" w:firstLineChars="200"/>
    </w:pPr>
    <w:rPr>
      <w:rFonts w:ascii="Calibri" w:hAnsi="Calibri"/>
      <w:sz w:val="26"/>
      <w:szCs w:val="26"/>
    </w:rPr>
  </w:style>
  <w:style w:type="paragraph" w:customStyle="1" w:styleId="238">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3"/>
    <w:next w:val="1"/>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qFormat/>
    <w:uiPriority w:val="0"/>
    <w:rPr>
      <w:rFonts w:ascii="宋体" w:hAnsi="宋体" w:cs="宋体"/>
      <w:sz w:val="18"/>
      <w:szCs w:val="18"/>
    </w:rPr>
  </w:style>
  <w:style w:type="paragraph" w:customStyle="1" w:styleId="25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qFormat/>
    <w:uiPriority w:val="0"/>
    <w:rPr>
      <w:rFonts w:ascii="宋体" w:hAnsi="Courier New" w:eastAsia="楷体_GB2312"/>
      <w:kern w:val="2"/>
      <w:sz w:val="26"/>
      <w:lang w:val="en-US" w:eastAsia="zh-CN" w:bidi="ar-SA"/>
    </w:rPr>
  </w:style>
  <w:style w:type="paragraph" w:customStyle="1" w:styleId="272">
    <w:name w:val="_Style 225"/>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qFormat/>
    <w:uiPriority w:val="0"/>
    <w:rPr>
      <w:rFonts w:ascii="楷体_GB2312" w:eastAsia="楷体_GB2312"/>
      <w:kern w:val="2"/>
      <w:sz w:val="28"/>
    </w:rPr>
  </w:style>
  <w:style w:type="character" w:customStyle="1" w:styleId="274">
    <w:name w:val="正文文本 字符1"/>
    <w:qFormat/>
    <w:uiPriority w:val="0"/>
    <w:rPr>
      <w:rFonts w:ascii="楷体_GB2312" w:eastAsia="楷体_GB2312"/>
      <w:kern w:val="2"/>
      <w:sz w:val="28"/>
    </w:rPr>
  </w:style>
  <w:style w:type="table" w:customStyle="1" w:styleId="275">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qFormat/>
    <w:uiPriority w:val="0"/>
    <w:rPr>
      <w:rFonts w:ascii="Verdana" w:hAnsi="Verdana" w:eastAsia="宋体" w:cs="Verdana"/>
      <w:sz w:val="24"/>
      <w:szCs w:val="24"/>
      <w:lang w:val="en-US" w:eastAsia="zh-CN" w:bidi="ar-SA"/>
    </w:rPr>
  </w:style>
  <w:style w:type="character" w:customStyle="1" w:styleId="280">
    <w:name w:val="标题 1 Char Char"/>
    <w:qFormat/>
    <w:uiPriority w:val="0"/>
    <w:rPr>
      <w:rFonts w:eastAsia="宋体"/>
      <w:b/>
      <w:spacing w:val="-2"/>
      <w:sz w:val="24"/>
      <w:lang w:val="en-US" w:eastAsia="zh-CN"/>
    </w:rPr>
  </w:style>
  <w:style w:type="paragraph" w:customStyle="1" w:styleId="28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qFormat/>
    <w:uiPriority w:val="99"/>
    <w:pPr>
      <w:snapToGrid w:val="0"/>
      <w:spacing w:line="312" w:lineRule="auto"/>
      <w:ind w:firstLine="482"/>
    </w:pPr>
    <w:rPr>
      <w:sz w:val="24"/>
      <w:szCs w:val="20"/>
    </w:rPr>
  </w:style>
  <w:style w:type="paragraph" w:customStyle="1" w:styleId="28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qFormat/>
    <w:uiPriority w:val="0"/>
    <w:pPr>
      <w:spacing w:before="120" w:after="120" w:line="560" w:lineRule="exact"/>
      <w:jc w:val="left"/>
    </w:pPr>
    <w:rPr>
      <w:rFonts w:ascii="仿宋_GB2312"/>
      <w:sz w:val="28"/>
    </w:rPr>
  </w:style>
  <w:style w:type="paragraph" w:customStyle="1" w:styleId="287">
    <w:name w:val="TOC Heading"/>
    <w:basedOn w:val="3"/>
    <w:next w:val="1"/>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qFormat/>
    <w:uiPriority w:val="0"/>
    <w:rPr>
      <w:rFonts w:ascii="宋体" w:hAnsi="Courier New" w:eastAsia="Times New Roman"/>
      <w:szCs w:val="20"/>
    </w:rPr>
  </w:style>
  <w:style w:type="paragraph" w:customStyle="1" w:styleId="289">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qFormat/>
    <w:uiPriority w:val="0"/>
    <w:pPr>
      <w:keepNext/>
      <w:keepLines/>
      <w:spacing w:line="412" w:lineRule="auto"/>
    </w:pPr>
    <w:rPr>
      <w:kern w:val="0"/>
      <w:sz w:val="32"/>
      <w:szCs w:val="32"/>
    </w:rPr>
  </w:style>
  <w:style w:type="table" w:customStyle="1" w:styleId="291">
    <w:name w:val="网格型4"/>
    <w:basedOn w:val="6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qFormat/>
    <w:uiPriority w:val="0"/>
    <w:rPr>
      <w:b/>
      <w:bCs/>
      <w:kern w:val="44"/>
      <w:sz w:val="32"/>
      <w:szCs w:val="44"/>
    </w:rPr>
  </w:style>
  <w:style w:type="character" w:customStyle="1" w:styleId="293">
    <w:name w:val="标题 2 Char1"/>
    <w:qFormat/>
    <w:uiPriority w:val="0"/>
    <w:rPr>
      <w:b/>
      <w:bCs/>
      <w:color w:val="000000"/>
      <w:kern w:val="2"/>
      <w:sz w:val="28"/>
      <w:szCs w:val="30"/>
    </w:rPr>
  </w:style>
  <w:style w:type="character" w:customStyle="1" w:styleId="294">
    <w:name w:val="脚注文本 Char3"/>
    <w:qFormat/>
    <w:uiPriority w:val="99"/>
    <w:rPr>
      <w:kern w:val="2"/>
      <w:sz w:val="18"/>
      <w:szCs w:val="18"/>
    </w:rPr>
  </w:style>
  <w:style w:type="table" w:customStyle="1" w:styleId="295">
    <w:name w:val="网格型5"/>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qFormat/>
    <w:uiPriority w:val="30"/>
    <w:rPr>
      <w:rFonts w:ascii="Times New Roman" w:hAnsi="Times New Roman"/>
      <w:b/>
      <w:bCs/>
      <w:i/>
      <w:iCs/>
      <w:color w:val="4F81BD"/>
      <w:kern w:val="2"/>
      <w:sz w:val="21"/>
      <w:szCs w:val="21"/>
    </w:rPr>
  </w:style>
  <w:style w:type="character" w:customStyle="1" w:styleId="297">
    <w:name w:val="Char Char11"/>
    <w:qFormat/>
    <w:uiPriority w:val="0"/>
    <w:rPr>
      <w:rFonts w:hint="eastAsia" w:ascii="宋体" w:hAnsi="宋体" w:eastAsia="宋体"/>
      <w:b/>
      <w:bCs/>
      <w:kern w:val="2"/>
      <w:sz w:val="32"/>
      <w:szCs w:val="32"/>
      <w:lang w:val="en-US" w:eastAsia="zh-CN" w:bidi="ar-SA"/>
    </w:rPr>
  </w:style>
  <w:style w:type="character" w:customStyle="1" w:styleId="298">
    <w:name w:val="副标题 Char3"/>
    <w:qFormat/>
    <w:uiPriority w:val="0"/>
    <w:rPr>
      <w:rFonts w:ascii="Cambria" w:hAnsi="Cambria" w:cs="Times New Roman"/>
      <w:b/>
      <w:bCs/>
      <w:kern w:val="28"/>
      <w:sz w:val="32"/>
      <w:szCs w:val="32"/>
    </w:rPr>
  </w:style>
  <w:style w:type="character" w:customStyle="1" w:styleId="299">
    <w:name w:val="Char Char1"/>
    <w:qFormat/>
    <w:uiPriority w:val="0"/>
    <w:rPr>
      <w:rFonts w:eastAsia="宋体"/>
      <w:b/>
      <w:bCs/>
      <w:kern w:val="2"/>
      <w:sz w:val="32"/>
      <w:szCs w:val="32"/>
      <w:lang w:val="en-US" w:eastAsia="zh-CN" w:bidi="ar-SA"/>
    </w:rPr>
  </w:style>
  <w:style w:type="character" w:customStyle="1" w:styleId="300">
    <w:name w:val="批注框文本 Char2"/>
    <w:semiHidden/>
    <w:qFormat/>
    <w:uiPriority w:val="99"/>
    <w:rPr>
      <w:sz w:val="18"/>
      <w:szCs w:val="18"/>
    </w:rPr>
  </w:style>
  <w:style w:type="character" w:customStyle="1" w:styleId="301">
    <w:name w:val="Char Char3"/>
    <w:qFormat/>
    <w:uiPriority w:val="99"/>
    <w:rPr>
      <w:rFonts w:eastAsia="宋体"/>
      <w:b/>
      <w:bCs/>
      <w:kern w:val="2"/>
      <w:sz w:val="32"/>
      <w:szCs w:val="32"/>
      <w:lang w:val="en-US" w:eastAsia="zh-CN"/>
    </w:rPr>
  </w:style>
  <w:style w:type="character" w:customStyle="1" w:styleId="302">
    <w:name w:val="Char Char12"/>
    <w:qFormat/>
    <w:uiPriority w:val="0"/>
    <w:rPr>
      <w:rFonts w:eastAsia="宋体"/>
      <w:b/>
      <w:bCs/>
      <w:kern w:val="2"/>
      <w:sz w:val="32"/>
      <w:szCs w:val="32"/>
      <w:lang w:val="en-US" w:eastAsia="zh-CN" w:bidi="ar-SA"/>
    </w:rPr>
  </w:style>
  <w:style w:type="character" w:customStyle="1" w:styleId="303">
    <w:name w:val="Char Char Char Char Char Char3"/>
    <w:qFormat/>
    <w:uiPriority w:val="0"/>
    <w:rPr>
      <w:rFonts w:eastAsia="宋体"/>
      <w:kern w:val="2"/>
      <w:sz w:val="21"/>
      <w:szCs w:val="24"/>
      <w:lang w:val="en-US" w:eastAsia="zh-CN" w:bidi="ar-SA"/>
    </w:rPr>
  </w:style>
  <w:style w:type="character" w:customStyle="1" w:styleId="304">
    <w:name w:val="日期 Char2"/>
    <w:semiHidden/>
    <w:qFormat/>
    <w:uiPriority w:val="99"/>
  </w:style>
  <w:style w:type="character" w:customStyle="1" w:styleId="305">
    <w:name w:val="普通文字 Char2"/>
    <w:qFormat/>
    <w:locked/>
    <w:uiPriority w:val="0"/>
    <w:rPr>
      <w:rFonts w:ascii="宋体" w:hAnsi="Courier New" w:cs="宋体"/>
      <w:sz w:val="21"/>
      <w:szCs w:val="21"/>
    </w:rPr>
  </w:style>
  <w:style w:type="character" w:customStyle="1" w:styleId="306">
    <w:name w:val="textcontents"/>
    <w:qFormat/>
    <w:uiPriority w:val="0"/>
  </w:style>
  <w:style w:type="character" w:customStyle="1" w:styleId="307">
    <w:name w:val="文档结构图 Char1"/>
    <w:qFormat/>
    <w:uiPriority w:val="99"/>
    <w:rPr>
      <w:rFonts w:ascii="宋体"/>
      <w:kern w:val="2"/>
      <w:sz w:val="18"/>
      <w:szCs w:val="18"/>
    </w:rPr>
  </w:style>
  <w:style w:type="character" w:customStyle="1" w:styleId="308">
    <w:name w:val="批注文字 Char Char"/>
    <w:qFormat/>
    <w:uiPriority w:val="0"/>
    <w:rPr>
      <w:rFonts w:ascii="宋体" w:hAnsi="Times New Roman" w:eastAsia="宋体" w:cs="Times New Roman"/>
      <w:sz w:val="28"/>
      <w:szCs w:val="20"/>
    </w:rPr>
  </w:style>
  <w:style w:type="character" w:customStyle="1" w:styleId="309">
    <w:name w:val="标题4 Char2"/>
    <w:qFormat/>
    <w:uiPriority w:val="0"/>
    <w:rPr>
      <w:rFonts w:eastAsia="宋体"/>
      <w:sz w:val="24"/>
      <w:szCs w:val="24"/>
      <w:lang w:val="en-US" w:eastAsia="zh-CN" w:bidi="ar-SA"/>
    </w:rPr>
  </w:style>
  <w:style w:type="character" w:customStyle="1" w:styleId="310">
    <w:name w:val="WW8Num13z0"/>
    <w:qFormat/>
    <w:uiPriority w:val="0"/>
    <w:rPr>
      <w:rFonts w:ascii="Wingdings" w:hAnsi="Wingdings" w:cs="Wingdings"/>
    </w:rPr>
  </w:style>
  <w:style w:type="character" w:customStyle="1" w:styleId="311">
    <w:name w:val="引用 Char2"/>
    <w:qFormat/>
    <w:uiPriority w:val="29"/>
    <w:rPr>
      <w:rFonts w:ascii="Times New Roman" w:hAnsi="Times New Roman"/>
      <w:i/>
      <w:iCs/>
      <w:color w:val="000000"/>
      <w:kern w:val="2"/>
      <w:sz w:val="21"/>
      <w:szCs w:val="21"/>
    </w:rPr>
  </w:style>
  <w:style w:type="character" w:customStyle="1" w:styleId="312">
    <w:name w:val="脚注文本 Char2"/>
    <w:semiHidden/>
    <w:qFormat/>
    <w:uiPriority w:val="99"/>
    <w:rPr>
      <w:rFonts w:ascii="Times New Roman" w:hAnsi="Times New Roman"/>
      <w:kern w:val="2"/>
      <w:sz w:val="18"/>
      <w:szCs w:val="18"/>
    </w:rPr>
  </w:style>
  <w:style w:type="character" w:customStyle="1" w:styleId="313">
    <w:name w:val="标题 Char2"/>
    <w:qFormat/>
    <w:uiPriority w:val="10"/>
    <w:rPr>
      <w:rFonts w:ascii="Cambria" w:hAnsi="Cambria" w:eastAsia="宋体" w:cs="Times New Roman"/>
      <w:b/>
      <w:bCs/>
      <w:sz w:val="32"/>
      <w:szCs w:val="32"/>
    </w:rPr>
  </w:style>
  <w:style w:type="character" w:customStyle="1" w:styleId="314">
    <w:name w:val="引用 Char"/>
    <w:qFormat/>
    <w:locked/>
    <w:uiPriority w:val="0"/>
    <w:rPr>
      <w:i/>
      <w:color w:val="000000"/>
      <w:kern w:val="2"/>
      <w:sz w:val="22"/>
    </w:rPr>
  </w:style>
  <w:style w:type="paragraph" w:styleId="315">
    <w:name w:val="Quote"/>
    <w:basedOn w:val="1"/>
    <w:next w:val="1"/>
    <w:link w:val="316"/>
    <w:qFormat/>
    <w:uiPriority w:val="0"/>
    <w:rPr>
      <w:i/>
      <w:color w:val="000000"/>
      <w:sz w:val="22"/>
      <w:szCs w:val="20"/>
    </w:rPr>
  </w:style>
  <w:style w:type="character" w:customStyle="1" w:styleId="316">
    <w:name w:val="引用 Char1"/>
    <w:basedOn w:val="63"/>
    <w:link w:val="315"/>
    <w:qFormat/>
    <w:uiPriority w:val="99"/>
    <w:rPr>
      <w:i/>
      <w:iCs/>
      <w:color w:val="000000"/>
      <w:kern w:val="2"/>
      <w:sz w:val="21"/>
      <w:szCs w:val="24"/>
    </w:rPr>
  </w:style>
  <w:style w:type="character" w:customStyle="1" w:styleId="317">
    <w:name w:val="明显引用 Char1"/>
    <w:qFormat/>
    <w:uiPriority w:val="99"/>
    <w:rPr>
      <w:b/>
      <w:bCs/>
      <w:i/>
      <w:iCs/>
      <w:color w:val="4F81BD"/>
      <w:kern w:val="2"/>
      <w:sz w:val="21"/>
      <w:szCs w:val="24"/>
    </w:rPr>
  </w:style>
  <w:style w:type="character" w:customStyle="1" w:styleId="318">
    <w:name w:val="样式1 Char"/>
    <w:link w:val="319"/>
    <w:qFormat/>
    <w:uiPriority w:val="99"/>
    <w:rPr>
      <w:rFonts w:eastAsia="黑体"/>
      <w:b/>
      <w:bCs/>
      <w:kern w:val="44"/>
      <w:sz w:val="36"/>
      <w:szCs w:val="44"/>
    </w:rPr>
  </w:style>
  <w:style w:type="paragraph" w:customStyle="1" w:styleId="319">
    <w:name w:val="样式1"/>
    <w:basedOn w:val="3"/>
    <w:next w:val="1"/>
    <w:link w:val="318"/>
    <w:qFormat/>
    <w:uiPriority w:val="99"/>
    <w:pPr>
      <w:spacing w:line="240" w:lineRule="auto"/>
    </w:pPr>
    <w:rPr>
      <w:rFonts w:eastAsia="黑体"/>
      <w:sz w:val="36"/>
    </w:rPr>
  </w:style>
  <w:style w:type="character" w:customStyle="1" w:styleId="320">
    <w:name w:val="p141"/>
    <w:qFormat/>
    <w:uiPriority w:val="0"/>
    <w:rPr>
      <w:sz w:val="21"/>
      <w:szCs w:val="21"/>
      <w:u w:val="none"/>
    </w:rPr>
  </w:style>
  <w:style w:type="character" w:customStyle="1" w:styleId="321">
    <w:name w:val="正文缩进 Char1"/>
    <w:qFormat/>
    <w:uiPriority w:val="0"/>
    <w:rPr>
      <w:rFonts w:eastAsia="宋体"/>
      <w:sz w:val="24"/>
      <w:szCs w:val="24"/>
      <w:lang w:val="en-US" w:eastAsia="zh-CN" w:bidi="ar-SA"/>
    </w:rPr>
  </w:style>
  <w:style w:type="character" w:customStyle="1" w:styleId="322">
    <w:name w:val="批注主题 Char2"/>
    <w:semiHidden/>
    <w:qFormat/>
    <w:uiPriority w:val="99"/>
    <w:rPr>
      <w:b/>
      <w:bCs/>
    </w:rPr>
  </w:style>
  <w:style w:type="character" w:customStyle="1" w:styleId="323">
    <w:name w:val="页眉 Char1"/>
    <w:semiHidden/>
    <w:qFormat/>
    <w:uiPriority w:val="99"/>
    <w:rPr>
      <w:rFonts w:ascii="Times New Roman" w:hAnsi="Times New Roman" w:eastAsia="宋体" w:cs="Times New Roman"/>
      <w:sz w:val="18"/>
      <w:szCs w:val="18"/>
    </w:rPr>
  </w:style>
  <w:style w:type="character" w:customStyle="1" w:styleId="324">
    <w:name w:val="正文文本 Char2"/>
    <w:semiHidden/>
    <w:qFormat/>
    <w:uiPriority w:val="99"/>
  </w:style>
  <w:style w:type="character" w:customStyle="1" w:styleId="325">
    <w:name w:val="批注文字 Char2"/>
    <w:semiHidden/>
    <w:qFormat/>
    <w:uiPriority w:val="99"/>
  </w:style>
  <w:style w:type="character" w:customStyle="1" w:styleId="326">
    <w:name w:val="明显引用 Char3"/>
    <w:qFormat/>
    <w:uiPriority w:val="99"/>
    <w:rPr>
      <w:rFonts w:ascii="Times New Roman" w:hAnsi="Times New Roman"/>
      <w:b/>
      <w:bCs/>
      <w:i/>
      <w:iCs/>
      <w:color w:val="4F81BD"/>
      <w:kern w:val="2"/>
      <w:sz w:val="21"/>
      <w:szCs w:val="21"/>
    </w:rPr>
  </w:style>
  <w:style w:type="character" w:customStyle="1" w:styleId="327">
    <w:name w:val="副标题 Char4"/>
    <w:qFormat/>
    <w:uiPriority w:val="11"/>
    <w:rPr>
      <w:rFonts w:ascii="Cambria" w:hAnsi="Cambria" w:eastAsia="宋体" w:cs="Times New Roman"/>
      <w:b/>
      <w:bCs/>
      <w:kern w:val="28"/>
      <w:sz w:val="32"/>
      <w:szCs w:val="32"/>
    </w:rPr>
  </w:style>
  <w:style w:type="character" w:customStyle="1" w:styleId="328">
    <w:name w:val="样式3 Char Char"/>
    <w:link w:val="329"/>
    <w:qFormat/>
    <w:locked/>
    <w:uiPriority w:val="99"/>
    <w:rPr>
      <w:rFonts w:eastAsia="黑体"/>
      <w:b/>
      <w:bCs/>
      <w:kern w:val="2"/>
      <w:sz w:val="32"/>
      <w:szCs w:val="32"/>
    </w:rPr>
  </w:style>
  <w:style w:type="paragraph" w:customStyle="1" w:styleId="329">
    <w:name w:val="样式3"/>
    <w:basedOn w:val="5"/>
    <w:next w:val="1"/>
    <w:link w:val="328"/>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qFormat/>
    <w:uiPriority w:val="0"/>
    <w:rPr>
      <w:rFonts w:eastAsia="宋体"/>
      <w:kern w:val="2"/>
      <w:sz w:val="21"/>
      <w:szCs w:val="24"/>
      <w:lang w:val="en-US" w:eastAsia="zh-CN" w:bidi="ar-SA"/>
    </w:rPr>
  </w:style>
  <w:style w:type="character" w:customStyle="1" w:styleId="331">
    <w:name w:val="Char Char Char Char Char Char1"/>
    <w:qFormat/>
    <w:uiPriority w:val="0"/>
    <w:rPr>
      <w:rFonts w:hint="eastAsia" w:ascii="宋体" w:hAnsi="宋体" w:eastAsia="宋体"/>
      <w:kern w:val="2"/>
      <w:sz w:val="21"/>
      <w:szCs w:val="24"/>
      <w:lang w:val="en-US" w:eastAsia="zh-CN" w:bidi="ar-SA"/>
    </w:rPr>
  </w:style>
  <w:style w:type="character" w:customStyle="1" w:styleId="332">
    <w:name w:val="书籍标题1"/>
    <w:qFormat/>
    <w:uiPriority w:val="0"/>
    <w:rPr>
      <w:b/>
      <w:bCs/>
      <w:smallCaps/>
      <w:spacing w:val="5"/>
    </w:rPr>
  </w:style>
  <w:style w:type="character" w:customStyle="1" w:styleId="333">
    <w:name w:val="正文文本 2 Char1"/>
    <w:semiHidden/>
    <w:qFormat/>
    <w:uiPriority w:val="99"/>
    <w:rPr>
      <w:rFonts w:ascii="Times New Roman" w:hAnsi="Times New Roman" w:eastAsia="宋体" w:cs="Times New Roman"/>
      <w:szCs w:val="21"/>
    </w:rPr>
  </w:style>
  <w:style w:type="character" w:customStyle="1" w:styleId="334">
    <w:name w:val="尾注文本 Char2"/>
    <w:semiHidden/>
    <w:qFormat/>
    <w:uiPriority w:val="99"/>
    <w:rPr>
      <w:rFonts w:ascii="Times New Roman" w:hAnsi="Times New Roman"/>
      <w:kern w:val="2"/>
      <w:sz w:val="21"/>
      <w:szCs w:val="21"/>
    </w:rPr>
  </w:style>
  <w:style w:type="character" w:customStyle="1" w:styleId="335">
    <w:name w:val="Comment Subject Char"/>
    <w:qFormat/>
    <w:locked/>
    <w:uiPriority w:val="0"/>
    <w:rPr>
      <w:rFonts w:ascii="Times New Roman" w:hAnsi="Times New Roman" w:eastAsia="宋体"/>
      <w:b/>
      <w:sz w:val="24"/>
    </w:rPr>
  </w:style>
  <w:style w:type="character" w:customStyle="1" w:styleId="336">
    <w:name w:val="批注主题 Char1"/>
    <w:qFormat/>
    <w:uiPriority w:val="0"/>
    <w:rPr>
      <w:b/>
      <w:bCs/>
      <w:kern w:val="2"/>
      <w:sz w:val="21"/>
      <w:szCs w:val="22"/>
    </w:rPr>
  </w:style>
  <w:style w:type="character" w:customStyle="1" w:styleId="337">
    <w:name w:val="文字1"/>
    <w:qFormat/>
    <w:uiPriority w:val="99"/>
    <w:rPr>
      <w:rFonts w:cs="Times New Roman"/>
    </w:rPr>
  </w:style>
  <w:style w:type="character" w:customStyle="1" w:styleId="338">
    <w:name w:val="样式 标题 3h3section:3Level 3 HeadH3level_3PIM 33rd level3H... Char"/>
    <w:qFormat/>
    <w:uiPriority w:val="0"/>
    <w:rPr>
      <w:rFonts w:ascii="Arial" w:hAnsi="Arial" w:eastAsia="宋体"/>
      <w:b/>
      <w:kern w:val="2"/>
      <w:sz w:val="24"/>
      <w:szCs w:val="28"/>
      <w:lang w:val="en-US" w:eastAsia="zh-CN" w:bidi="ar-SA"/>
    </w:rPr>
  </w:style>
  <w:style w:type="character" w:customStyle="1" w:styleId="339">
    <w:name w:val="正文文本缩进 3 Char1"/>
    <w:semiHidden/>
    <w:qFormat/>
    <w:uiPriority w:val="99"/>
    <w:rPr>
      <w:rFonts w:ascii="Times New Roman" w:hAnsi="Times New Roman" w:eastAsia="宋体" w:cs="Times New Roman"/>
      <w:sz w:val="16"/>
      <w:szCs w:val="16"/>
    </w:rPr>
  </w:style>
  <w:style w:type="character" w:customStyle="1" w:styleId="340">
    <w:name w:val="批注文字 Char1"/>
    <w:qFormat/>
    <w:uiPriority w:val="0"/>
    <w:rPr>
      <w:rFonts w:eastAsia="宋体"/>
      <w:szCs w:val="24"/>
    </w:rPr>
  </w:style>
  <w:style w:type="character" w:customStyle="1" w:styleId="341">
    <w:name w:val="HTML 预设格式 Char1"/>
    <w:semiHidden/>
    <w:qFormat/>
    <w:uiPriority w:val="99"/>
    <w:rPr>
      <w:rFonts w:ascii="Courier New" w:hAnsi="Courier New" w:eastAsia="宋体" w:cs="Courier New"/>
      <w:sz w:val="20"/>
      <w:szCs w:val="20"/>
    </w:rPr>
  </w:style>
  <w:style w:type="character" w:customStyle="1" w:styleId="342">
    <w:name w:val="明显引用 Char"/>
    <w:qFormat/>
    <w:locked/>
    <w:uiPriority w:val="0"/>
    <w:rPr>
      <w:b/>
      <w:i/>
      <w:color w:val="4F81BD"/>
      <w:kern w:val="2"/>
      <w:sz w:val="22"/>
    </w:rPr>
  </w:style>
  <w:style w:type="paragraph" w:styleId="343">
    <w:name w:val="Intense Quote"/>
    <w:basedOn w:val="1"/>
    <w:next w:val="1"/>
    <w:link w:val="344"/>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qFormat/>
    <w:uiPriority w:val="30"/>
    <w:rPr>
      <w:b/>
      <w:bCs/>
      <w:i/>
      <w:iCs/>
      <w:color w:val="4F81BD"/>
      <w:kern w:val="2"/>
      <w:sz w:val="21"/>
      <w:szCs w:val="24"/>
    </w:rPr>
  </w:style>
  <w:style w:type="character" w:customStyle="1" w:styleId="345">
    <w:name w:val="脚注文本 Char1"/>
    <w:semiHidden/>
    <w:qFormat/>
    <w:uiPriority w:val="99"/>
    <w:rPr>
      <w:rFonts w:ascii="Times New Roman" w:hAnsi="Times New Roman"/>
      <w:kern w:val="2"/>
      <w:sz w:val="18"/>
      <w:szCs w:val="18"/>
    </w:rPr>
  </w:style>
  <w:style w:type="character" w:customStyle="1" w:styleId="346">
    <w:name w:val="明显强调1"/>
    <w:qFormat/>
    <w:uiPriority w:val="0"/>
    <w:rPr>
      <w:b/>
      <w:bCs/>
      <w:i/>
      <w:iCs/>
      <w:color w:val="4F81BD"/>
    </w:rPr>
  </w:style>
  <w:style w:type="character" w:customStyle="1" w:styleId="347">
    <w:name w:val="样式 标题 3h3section:3Level 3 HeadH3level_3PIM 33rd level3H... Char Char"/>
    <w:link w:val="348"/>
    <w:qFormat/>
    <w:uiPriority w:val="0"/>
    <w:rPr>
      <w:rFonts w:ascii="Arial" w:hAnsi="Arial"/>
      <w:b/>
      <w:kern w:val="2"/>
      <w:sz w:val="24"/>
      <w:szCs w:val="28"/>
    </w:rPr>
  </w:style>
  <w:style w:type="paragraph" w:customStyle="1" w:styleId="348">
    <w:name w:val="样式 标题 3h3section:3Level 3 HeadH3level_3PIM 33rd level3H..."/>
    <w:basedOn w:val="5"/>
    <w:link w:val="347"/>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qFormat/>
    <w:uiPriority w:val="0"/>
    <w:rPr>
      <w:bCs/>
      <w:kern w:val="2"/>
      <w:sz w:val="24"/>
      <w:szCs w:val="30"/>
    </w:rPr>
  </w:style>
  <w:style w:type="paragraph" w:customStyle="1" w:styleId="350">
    <w:name w:val="ZhJ标题3"/>
    <w:basedOn w:val="1"/>
    <w:next w:val="1"/>
    <w:link w:val="349"/>
    <w:qFormat/>
    <w:uiPriority w:val="0"/>
    <w:pPr>
      <w:keepNext/>
      <w:keepLines/>
      <w:tabs>
        <w:tab w:val="left" w:pos="0"/>
      </w:tabs>
      <w:spacing w:line="440" w:lineRule="exact"/>
      <w:jc w:val="left"/>
      <w:outlineLvl w:val="1"/>
    </w:pPr>
    <w:rPr>
      <w:bCs/>
      <w:sz w:val="24"/>
      <w:szCs w:val="30"/>
    </w:rPr>
  </w:style>
  <w:style w:type="character" w:customStyle="1" w:styleId="351">
    <w:name w:val="明显参考2"/>
    <w:qFormat/>
    <w:uiPriority w:val="0"/>
    <w:rPr>
      <w:b/>
      <w:bCs/>
      <w:smallCaps/>
      <w:color w:val="C0504D"/>
      <w:spacing w:val="5"/>
      <w:u w:val="single"/>
    </w:rPr>
  </w:style>
  <w:style w:type="character" w:customStyle="1" w:styleId="352">
    <w:name w:val="WW8Num11z0"/>
    <w:qFormat/>
    <w:uiPriority w:val="0"/>
    <w:rPr>
      <w:u w:val="none"/>
    </w:rPr>
  </w:style>
  <w:style w:type="character" w:customStyle="1" w:styleId="353">
    <w:name w:val="不明显参考1"/>
    <w:qFormat/>
    <w:uiPriority w:val="0"/>
    <w:rPr>
      <w:smallCaps/>
      <w:color w:val="C0504D"/>
      <w:u w:val="single"/>
    </w:rPr>
  </w:style>
  <w:style w:type="character" w:customStyle="1" w:styleId="354">
    <w:name w:val="newsbg1"/>
    <w:qFormat/>
    <w:uiPriority w:val="0"/>
  </w:style>
  <w:style w:type="character" w:customStyle="1" w:styleId="355">
    <w:name w:val="明显参考1"/>
    <w:qFormat/>
    <w:uiPriority w:val="0"/>
    <w:rPr>
      <w:b/>
      <w:bCs/>
      <w:smallCaps/>
      <w:color w:val="C0504D"/>
      <w:spacing w:val="5"/>
      <w:u w:val="single"/>
    </w:rPr>
  </w:style>
  <w:style w:type="character" w:customStyle="1" w:styleId="356">
    <w:name w:val="书籍标题2"/>
    <w:qFormat/>
    <w:uiPriority w:val="0"/>
    <w:rPr>
      <w:b/>
      <w:bCs/>
      <w:smallCaps/>
      <w:spacing w:val="5"/>
    </w:rPr>
  </w:style>
  <w:style w:type="character" w:customStyle="1" w:styleId="357">
    <w:name w:val="页脚 Char1"/>
    <w:semiHidden/>
    <w:qFormat/>
    <w:uiPriority w:val="99"/>
    <w:rPr>
      <w:rFonts w:ascii="Times New Roman" w:hAnsi="Times New Roman" w:eastAsia="宋体" w:cs="Times New Roman"/>
      <w:sz w:val="18"/>
      <w:szCs w:val="18"/>
    </w:rPr>
  </w:style>
  <w:style w:type="character" w:customStyle="1" w:styleId="358">
    <w:name w:val="明显强调2"/>
    <w:qFormat/>
    <w:uiPriority w:val="0"/>
    <w:rPr>
      <w:b/>
      <w:bCs/>
      <w:i/>
      <w:iCs/>
      <w:color w:val="4F81BD"/>
    </w:rPr>
  </w:style>
  <w:style w:type="character" w:customStyle="1" w:styleId="359">
    <w:name w:val="WW8Num1z0"/>
    <w:qFormat/>
    <w:uiPriority w:val="0"/>
  </w:style>
  <w:style w:type="character" w:customStyle="1" w:styleId="360">
    <w:name w:val="WW8Num18z1"/>
    <w:qFormat/>
    <w:uiPriority w:val="0"/>
  </w:style>
  <w:style w:type="character" w:customStyle="1" w:styleId="361">
    <w:name w:val="文档结构图 Char2"/>
    <w:semiHidden/>
    <w:qFormat/>
    <w:uiPriority w:val="99"/>
    <w:rPr>
      <w:rFonts w:ascii="宋体" w:hAnsi="Times New Roman" w:eastAsia="宋体" w:cs="Times New Roman"/>
      <w:sz w:val="18"/>
      <w:szCs w:val="18"/>
    </w:rPr>
  </w:style>
  <w:style w:type="character" w:customStyle="1" w:styleId="362">
    <w:name w:val="正文文本缩进 2 Char1"/>
    <w:semiHidden/>
    <w:qFormat/>
    <w:uiPriority w:val="99"/>
    <w:rPr>
      <w:rFonts w:ascii="Times New Roman" w:hAnsi="Times New Roman" w:eastAsia="宋体" w:cs="Times New Roman"/>
      <w:szCs w:val="21"/>
    </w:rPr>
  </w:style>
  <w:style w:type="character" w:customStyle="1" w:styleId="363">
    <w:name w:val="Char Char13"/>
    <w:qFormat/>
    <w:uiPriority w:val="0"/>
    <w:rPr>
      <w:rFonts w:eastAsia="宋体"/>
      <w:b/>
      <w:bCs/>
      <w:kern w:val="2"/>
      <w:sz w:val="32"/>
      <w:szCs w:val="32"/>
      <w:lang w:val="en-US" w:eastAsia="zh-CN" w:bidi="ar-SA"/>
    </w:rPr>
  </w:style>
  <w:style w:type="character" w:customStyle="1" w:styleId="364">
    <w:name w:val="Body Text Indent 3 Char"/>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66">
    <w:name w:val="标题 2 Char Char"/>
    <w:qFormat/>
    <w:uiPriority w:val="0"/>
    <w:rPr>
      <w:rFonts w:ascii="宋体" w:hAnsi="宋体" w:eastAsia="黑体"/>
      <w:kern w:val="2"/>
      <w:sz w:val="30"/>
      <w:szCs w:val="24"/>
      <w:lang w:val="en-US" w:eastAsia="zh-CN" w:bidi="ar-SA"/>
    </w:rPr>
  </w:style>
  <w:style w:type="character" w:customStyle="1" w:styleId="367">
    <w:name w:val="称呼 Char1"/>
    <w:semiHidden/>
    <w:qFormat/>
    <w:uiPriority w:val="99"/>
    <w:rPr>
      <w:rFonts w:ascii="Times New Roman" w:hAnsi="Times New Roman" w:eastAsia="宋体" w:cs="Times New Roman"/>
      <w:szCs w:val="21"/>
    </w:rPr>
  </w:style>
  <w:style w:type="character" w:customStyle="1" w:styleId="368">
    <w:name w:val="不明显强调1"/>
    <w:qFormat/>
    <w:uiPriority w:val="0"/>
    <w:rPr>
      <w:i/>
      <w:iCs/>
      <w:color w:val="808080"/>
    </w:rPr>
  </w:style>
  <w:style w:type="character" w:customStyle="1" w:styleId="369">
    <w:name w:val="Plain Text Char1"/>
    <w:semiHidden/>
    <w:qFormat/>
    <w:uiPriority w:val="99"/>
    <w:rPr>
      <w:rFonts w:ascii="宋体" w:hAnsi="Courier New" w:cs="Courier New"/>
      <w:szCs w:val="21"/>
    </w:rPr>
  </w:style>
  <w:style w:type="character" w:customStyle="1" w:styleId="370">
    <w:name w:val="引用 Char4"/>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qFormat/>
    <w:uiPriority w:val="0"/>
    <w:pPr>
      <w:spacing w:line="360" w:lineRule="auto"/>
      <w:ind w:firstLine="200" w:firstLineChars="200"/>
    </w:pPr>
    <w:rPr>
      <w:rFonts w:ascii="宋体" w:hAnsi="Courier New"/>
      <w:color w:val="000000"/>
      <w:sz w:val="24"/>
      <w:szCs w:val="20"/>
    </w:rPr>
  </w:style>
  <w:style w:type="character" w:customStyle="1" w:styleId="373">
    <w:name w:val="H2 Char1"/>
    <w:qFormat/>
    <w:uiPriority w:val="0"/>
    <w:rPr>
      <w:rFonts w:ascii="Arial" w:hAnsi="Arial" w:eastAsia="黑体" w:cs="Arial"/>
      <w:b/>
      <w:bCs/>
      <w:kern w:val="2"/>
      <w:sz w:val="32"/>
      <w:szCs w:val="32"/>
    </w:rPr>
  </w:style>
  <w:style w:type="character" w:customStyle="1" w:styleId="374">
    <w:name w:val="样式3 Char Char Char Char"/>
    <w:link w:val="375"/>
    <w:qFormat/>
    <w:uiPriority w:val="0"/>
    <w:rPr>
      <w:rFonts w:eastAsia="黑体"/>
      <w:b/>
      <w:bCs/>
      <w:kern w:val="2"/>
      <w:sz w:val="32"/>
      <w:szCs w:val="32"/>
    </w:rPr>
  </w:style>
  <w:style w:type="paragraph" w:customStyle="1" w:styleId="375">
    <w:name w:val="样式3 Char"/>
    <w:basedOn w:val="5"/>
    <w:next w:val="1"/>
    <w:link w:val="374"/>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qFormat/>
    <w:uiPriority w:val="0"/>
    <w:rPr>
      <w:rFonts w:eastAsia="宋体"/>
    </w:rPr>
  </w:style>
  <w:style w:type="character" w:customStyle="1" w:styleId="377">
    <w:name w:val="WW8Num22z0"/>
    <w:qFormat/>
    <w:uiPriority w:val="0"/>
    <w:rPr>
      <w:u w:val="none"/>
    </w:rPr>
  </w:style>
  <w:style w:type="character" w:customStyle="1" w:styleId="378">
    <w:name w:val="副标题 Char1"/>
    <w:qFormat/>
    <w:uiPriority w:val="99"/>
    <w:rPr>
      <w:rFonts w:ascii="Cambria" w:hAnsi="Cambria" w:cs="Times New Roman"/>
      <w:b/>
      <w:bCs/>
      <w:kern w:val="28"/>
      <w:sz w:val="32"/>
      <w:szCs w:val="32"/>
    </w:rPr>
  </w:style>
  <w:style w:type="character" w:customStyle="1" w:styleId="379">
    <w:name w:val="副标题 Char2"/>
    <w:qFormat/>
    <w:uiPriority w:val="11"/>
    <w:rPr>
      <w:rFonts w:ascii="Cambria" w:hAnsi="Cambria" w:cs="Times New Roman"/>
      <w:b/>
      <w:bCs/>
      <w:kern w:val="28"/>
      <w:sz w:val="32"/>
      <w:szCs w:val="32"/>
    </w:rPr>
  </w:style>
  <w:style w:type="character" w:customStyle="1" w:styleId="380">
    <w:name w:val="bigfont"/>
    <w:qFormat/>
    <w:uiPriority w:val="0"/>
  </w:style>
  <w:style w:type="character" w:customStyle="1" w:styleId="381">
    <w:name w:val="尾注文本 Char1"/>
    <w:semiHidden/>
    <w:qFormat/>
    <w:uiPriority w:val="99"/>
    <w:rPr>
      <w:rFonts w:ascii="Times New Roman" w:hAnsi="Times New Roman"/>
      <w:kern w:val="2"/>
      <w:sz w:val="21"/>
      <w:szCs w:val="21"/>
    </w:rPr>
  </w:style>
  <w:style w:type="character" w:customStyle="1" w:styleId="382">
    <w:name w:val="标题5 Char Char"/>
    <w:link w:val="383"/>
    <w:qFormat/>
    <w:locked/>
    <w:uiPriority w:val="0"/>
    <w:rPr>
      <w:rFonts w:ascii="Arial" w:hAnsi="Arial"/>
      <w:b/>
      <w:sz w:val="32"/>
    </w:rPr>
  </w:style>
  <w:style w:type="paragraph" w:customStyle="1" w:styleId="383">
    <w:name w:val="标题5"/>
    <w:basedOn w:val="5"/>
    <w:link w:val="382"/>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qFormat/>
    <w:uiPriority w:val="0"/>
    <w:rPr>
      <w:kern w:val="2"/>
      <w:sz w:val="18"/>
      <w:szCs w:val="18"/>
    </w:rPr>
  </w:style>
  <w:style w:type="character" w:customStyle="1" w:styleId="385">
    <w:name w:val="title2"/>
    <w:qFormat/>
    <w:uiPriority w:val="0"/>
    <w:rPr>
      <w:rFonts w:hint="default" w:ascii="Arial" w:hAnsi="Arial"/>
      <w:b/>
      <w:color w:val="111111"/>
      <w:sz w:val="24"/>
      <w:u w:val="none"/>
    </w:rPr>
  </w:style>
  <w:style w:type="character" w:customStyle="1" w:styleId="386">
    <w:name w:val="WW8Num9z0"/>
    <w:qFormat/>
    <w:uiPriority w:val="0"/>
  </w:style>
  <w:style w:type="character" w:customStyle="1" w:styleId="387">
    <w:name w:val="mini-outputtext1"/>
    <w:qFormat/>
    <w:uiPriority w:val="0"/>
  </w:style>
  <w:style w:type="character" w:customStyle="1" w:styleId="388">
    <w:name w:val="apple-converted-space"/>
    <w:qFormat/>
    <w:uiPriority w:val="0"/>
  </w:style>
  <w:style w:type="character" w:customStyle="1" w:styleId="389">
    <w:name w:val="Plain Text Char"/>
    <w:qFormat/>
    <w:locked/>
    <w:uiPriority w:val="0"/>
    <w:rPr>
      <w:rFonts w:ascii="宋体" w:hAnsi="Courier New" w:eastAsia="宋体"/>
      <w:sz w:val="21"/>
    </w:rPr>
  </w:style>
  <w:style w:type="character" w:customStyle="1" w:styleId="390">
    <w:name w:val="Char Char Char Char Char Char2"/>
    <w:qFormat/>
    <w:uiPriority w:val="0"/>
    <w:rPr>
      <w:rFonts w:eastAsia="宋体"/>
      <w:kern w:val="2"/>
      <w:sz w:val="21"/>
      <w:szCs w:val="24"/>
      <w:lang w:val="en-US" w:eastAsia="zh-CN" w:bidi="ar-SA"/>
    </w:rPr>
  </w:style>
  <w:style w:type="character" w:customStyle="1" w:styleId="391">
    <w:name w:val="tt21"/>
    <w:qFormat/>
    <w:uiPriority w:val="0"/>
    <w:rPr>
      <w:rFonts w:ascii="宋体" w:hAnsi="宋体"/>
      <w:b/>
      <w:bCs/>
      <w:sz w:val="32"/>
      <w:szCs w:val="18"/>
    </w:rPr>
  </w:style>
  <w:style w:type="character" w:customStyle="1" w:styleId="392">
    <w:name w:val="正文文本 3 Char1"/>
    <w:semiHidden/>
    <w:qFormat/>
    <w:uiPriority w:val="99"/>
    <w:rPr>
      <w:rFonts w:ascii="Times New Roman" w:hAnsi="Times New Roman" w:eastAsia="宋体" w:cs="Times New Roman"/>
      <w:sz w:val="16"/>
      <w:szCs w:val="16"/>
    </w:rPr>
  </w:style>
  <w:style w:type="character" w:customStyle="1" w:styleId="393">
    <w:name w:val="不明显参考2"/>
    <w:qFormat/>
    <w:uiPriority w:val="0"/>
    <w:rPr>
      <w:smallCaps/>
      <w:color w:val="C0504D"/>
      <w:u w:val="single"/>
    </w:rPr>
  </w:style>
  <w:style w:type="character" w:customStyle="1" w:styleId="394">
    <w:name w:val="Date Char"/>
    <w:qFormat/>
    <w:locked/>
    <w:uiPriority w:val="0"/>
    <w:rPr>
      <w:rFonts w:ascii="Times New Roman" w:hAnsi="Times New Roman" w:eastAsia="宋体"/>
      <w:sz w:val="24"/>
    </w:rPr>
  </w:style>
  <w:style w:type="character" w:customStyle="1" w:styleId="395">
    <w:name w:val="普通文字 Char"/>
    <w:qFormat/>
    <w:uiPriority w:val="0"/>
    <w:rPr>
      <w:rFonts w:ascii="宋体" w:hAnsi="Courier New" w:cs="Courier New"/>
      <w:kern w:val="2"/>
      <w:sz w:val="21"/>
      <w:szCs w:val="21"/>
    </w:rPr>
  </w:style>
  <w:style w:type="character" w:customStyle="1" w:styleId="396">
    <w:name w:val="H1 Char1"/>
    <w:qFormat/>
    <w:uiPriority w:val="0"/>
    <w:rPr>
      <w:rFonts w:ascii="Times New Roman" w:hAnsi="Times New Roman"/>
      <w:b/>
      <w:bCs/>
      <w:kern w:val="44"/>
      <w:sz w:val="44"/>
      <w:szCs w:val="44"/>
    </w:rPr>
  </w:style>
  <w:style w:type="character" w:customStyle="1" w:styleId="397">
    <w:name w:val="纯文本 Char2"/>
    <w:semiHidden/>
    <w:qFormat/>
    <w:uiPriority w:val="99"/>
    <w:rPr>
      <w:rFonts w:ascii="宋体" w:hAnsi="Courier New" w:eastAsia="宋体" w:cs="Courier New"/>
      <w:szCs w:val="21"/>
    </w:rPr>
  </w:style>
  <w:style w:type="character" w:customStyle="1" w:styleId="398">
    <w:name w:val="WW8Num23z0"/>
    <w:qFormat/>
    <w:uiPriority w:val="0"/>
    <w:rPr>
      <w:u w:val="none"/>
    </w:rPr>
  </w:style>
  <w:style w:type="character" w:customStyle="1" w:styleId="399">
    <w:name w:val="不明显强调2"/>
    <w:qFormat/>
    <w:uiPriority w:val="0"/>
    <w:rPr>
      <w:i/>
      <w:iCs/>
      <w:color w:val="808080"/>
    </w:rPr>
  </w:style>
  <w:style w:type="character" w:customStyle="1" w:styleId="400">
    <w:name w:val="引用 Char3"/>
    <w:qFormat/>
    <w:uiPriority w:val="99"/>
    <w:rPr>
      <w:rFonts w:ascii="Times New Roman" w:hAnsi="Times New Roman"/>
      <w:i/>
      <w:iCs/>
      <w:color w:val="000000"/>
      <w:kern w:val="2"/>
      <w:sz w:val="21"/>
      <w:szCs w:val="21"/>
    </w:rPr>
  </w:style>
  <w:style w:type="character" w:customStyle="1" w:styleId="401">
    <w:name w:val="标题 Char1"/>
    <w:qFormat/>
    <w:uiPriority w:val="99"/>
    <w:rPr>
      <w:rFonts w:ascii="Cambria" w:hAnsi="Cambria" w:cs="Times New Roman"/>
      <w:b/>
      <w:bCs/>
      <w:kern w:val="2"/>
      <w:sz w:val="32"/>
      <w:szCs w:val="32"/>
    </w:rPr>
  </w:style>
  <w:style w:type="paragraph" w:customStyle="1" w:styleId="402">
    <w:name w:val="列表1）"/>
    <w:basedOn w:val="8"/>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qFormat/>
    <w:uiPriority w:val="99"/>
    <w:pPr>
      <w:spacing w:line="360" w:lineRule="auto"/>
    </w:pPr>
  </w:style>
  <w:style w:type="paragraph" w:customStyle="1" w:styleId="405">
    <w:name w:val="Table Heading"/>
    <w:basedOn w:val="406"/>
    <w:qFormat/>
    <w:uiPriority w:val="0"/>
    <w:pPr>
      <w:jc w:val="center"/>
    </w:pPr>
    <w:rPr>
      <w:b/>
      <w:bCs/>
    </w:rPr>
  </w:style>
  <w:style w:type="paragraph" w:customStyle="1" w:styleId="406">
    <w:name w:val="Table Contents"/>
    <w:basedOn w:val="1"/>
    <w:qFormat/>
    <w:uiPriority w:val="0"/>
    <w:pPr>
      <w:suppressLineNumbers/>
      <w:suppressAutoHyphens/>
    </w:pPr>
    <w:rPr>
      <w:kern w:val="1"/>
      <w:szCs w:val="21"/>
      <w:lang w:eastAsia="ar-SA"/>
    </w:rPr>
  </w:style>
  <w:style w:type="paragraph" w:customStyle="1" w:styleId="407">
    <w:name w:val="修订1"/>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qFormat/>
    <w:uiPriority w:val="0"/>
    <w:rPr>
      <w:rFonts w:ascii="宋体" w:hAnsi="Courier New" w:cs="Courier New"/>
      <w:kern w:val="0"/>
      <w:sz w:val="24"/>
      <w:szCs w:val="20"/>
    </w:rPr>
  </w:style>
  <w:style w:type="paragraph" w:customStyle="1" w:styleId="411">
    <w:name w:val="Char Char Char1 Char21"/>
    <w:basedOn w:val="1"/>
    <w:qFormat/>
    <w:uiPriority w:val="99"/>
    <w:rPr>
      <w:rFonts w:ascii="宋体"/>
      <w:kern w:val="0"/>
      <w:sz w:val="24"/>
      <w:szCs w:val="20"/>
    </w:rPr>
  </w:style>
  <w:style w:type="paragraph" w:customStyle="1" w:styleId="41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4"/>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qFormat/>
    <w:uiPriority w:val="99"/>
    <w:pPr>
      <w:widowControl/>
      <w:spacing w:after="160" w:line="240" w:lineRule="exact"/>
      <w:jc w:val="left"/>
    </w:pPr>
    <w:rPr>
      <w:szCs w:val="20"/>
    </w:rPr>
  </w:style>
  <w:style w:type="paragraph" w:customStyle="1" w:styleId="418">
    <w:name w:val="xl52"/>
    <w:basedOn w:val="1"/>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qFormat/>
    <w:uiPriority w:val="0"/>
    <w:pPr>
      <w:ind w:firstLine="420" w:firstLineChars="200"/>
    </w:pPr>
    <w:rPr>
      <w:rFonts w:ascii="Calibri" w:hAnsi="Calibri"/>
      <w:kern w:val="0"/>
      <w:sz w:val="24"/>
      <w:szCs w:val="20"/>
    </w:rPr>
  </w:style>
  <w:style w:type="paragraph" w:customStyle="1" w:styleId="420">
    <w:name w:val="Char Char Char1 Char2"/>
    <w:basedOn w:val="1"/>
    <w:qFormat/>
    <w:uiPriority w:val="0"/>
    <w:rPr>
      <w:szCs w:val="20"/>
    </w:rPr>
  </w:style>
  <w:style w:type="paragraph" w:customStyle="1" w:styleId="421">
    <w:name w:val="TOC 标题3"/>
    <w:basedOn w:val="3"/>
    <w:next w:val="1"/>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3"/>
    <w:qFormat/>
    <w:uiPriority w:val="99"/>
    <w:pPr>
      <w:spacing w:line="576" w:lineRule="auto"/>
    </w:pPr>
    <w:rPr>
      <w:bCs w:val="0"/>
      <w:szCs w:val="20"/>
    </w:rPr>
  </w:style>
  <w:style w:type="paragraph" w:customStyle="1" w:styleId="425">
    <w:name w:val="Char Char Char Char Char Char Char Char Char Char Char Char Char21"/>
    <w:basedOn w:val="1"/>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5"/>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qFormat/>
    <w:uiPriority w:val="99"/>
    <w:pPr>
      <w:widowControl/>
      <w:jc w:val="left"/>
    </w:pPr>
    <w:rPr>
      <w:rFonts w:ascii="宋体" w:hAnsi="宋体" w:cs="宋体"/>
      <w:kern w:val="0"/>
      <w:sz w:val="24"/>
    </w:rPr>
  </w:style>
  <w:style w:type="paragraph" w:customStyle="1" w:styleId="429">
    <w:name w:val="表格文字"/>
    <w:basedOn w:val="1"/>
    <w:next w:val="1"/>
    <w:qFormat/>
    <w:uiPriority w:val="99"/>
    <w:pPr>
      <w:autoSpaceDE w:val="0"/>
      <w:autoSpaceDN w:val="0"/>
      <w:adjustRightInd w:val="0"/>
      <w:spacing w:before="6" w:after="6"/>
      <w:jc w:val="left"/>
    </w:pPr>
    <w:rPr>
      <w:rFonts w:ascii="宋体"/>
      <w:kern w:val="0"/>
      <w:sz w:val="20"/>
    </w:rPr>
  </w:style>
  <w:style w:type="paragraph" w:customStyle="1" w:styleId="430">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3"/>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
    <w:qFormat/>
    <w:uiPriority w:val="0"/>
    <w:pPr>
      <w:suppressAutoHyphens/>
    </w:pPr>
    <w:rPr>
      <w:kern w:val="1"/>
      <w:sz w:val="24"/>
      <w:lang w:eastAsia="ar-SA"/>
    </w:rPr>
  </w:style>
  <w:style w:type="paragraph" w:customStyle="1" w:styleId="434">
    <w:name w:val="Char Char Char Char Char 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qFormat/>
    <w:uiPriority w:val="0"/>
    <w:rPr>
      <w:szCs w:val="20"/>
    </w:rPr>
  </w:style>
  <w:style w:type="paragraph" w:customStyle="1" w:styleId="437">
    <w:name w:val="paragraphindent"/>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qFormat/>
    <w:uiPriority w:val="0"/>
    <w:pPr>
      <w:spacing w:before="120" w:after="120"/>
      <w:jc w:val="left"/>
    </w:pPr>
    <w:rPr>
      <w:rFonts w:ascii="Arial" w:hAnsi="Arial"/>
      <w:b/>
      <w:color w:val="000000"/>
      <w:kern w:val="44"/>
      <w:sz w:val="20"/>
      <w:szCs w:val="20"/>
    </w:rPr>
  </w:style>
  <w:style w:type="paragraph" w:customStyle="1" w:styleId="439">
    <w:name w:val="fontsize"/>
    <w:basedOn w:val="1"/>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qFormat/>
    <w:uiPriority w:val="0"/>
    <w:rPr>
      <w:rFonts w:ascii="Tahoma" w:hAnsi="Tahoma"/>
      <w:kern w:val="0"/>
      <w:sz w:val="24"/>
      <w:szCs w:val="20"/>
    </w:rPr>
  </w:style>
  <w:style w:type="paragraph" w:customStyle="1" w:styleId="443">
    <w:name w:val="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qFormat/>
    <w:uiPriority w:val="0"/>
    <w:pPr>
      <w:spacing w:after="160" w:line="240" w:lineRule="exact"/>
      <w:jc w:val="left"/>
    </w:pPr>
    <w:rPr>
      <w:rFonts w:ascii="宋体"/>
      <w:kern w:val="0"/>
      <w:sz w:val="24"/>
    </w:rPr>
  </w:style>
  <w:style w:type="paragraph" w:customStyle="1" w:styleId="445">
    <w:name w:val="文档正文"/>
    <w:basedOn w:val="1"/>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qFormat/>
    <w:uiPriority w:val="0"/>
    <w:pPr>
      <w:ind w:firstLine="420" w:firstLineChars="200"/>
    </w:pPr>
    <w:rPr>
      <w:rFonts w:ascii="Calibri" w:hAnsi="Calibri"/>
      <w:kern w:val="0"/>
      <w:sz w:val="24"/>
      <w:szCs w:val="20"/>
    </w:rPr>
  </w:style>
  <w:style w:type="paragraph" w:customStyle="1" w:styleId="447">
    <w:name w:val="重点说明"/>
    <w:basedOn w:val="1"/>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qFormat/>
    <w:uiPriority w:val="99"/>
    <w:pPr>
      <w:ind w:firstLine="420" w:firstLineChars="200"/>
    </w:pPr>
    <w:rPr>
      <w:rFonts w:ascii="Calibri" w:hAnsi="Calibri"/>
      <w:kern w:val="0"/>
      <w:sz w:val="24"/>
      <w:szCs w:val="20"/>
    </w:rPr>
  </w:style>
  <w:style w:type="paragraph" w:customStyle="1" w:styleId="449">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qFormat/>
    <w:uiPriority w:val="0"/>
    <w:pPr>
      <w:widowControl/>
      <w:spacing w:after="160" w:line="240" w:lineRule="exact"/>
      <w:jc w:val="left"/>
    </w:pPr>
  </w:style>
  <w:style w:type="paragraph" w:customStyle="1" w:styleId="451">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qFormat/>
    <w:uiPriority w:val="99"/>
    <w:rPr>
      <w:rFonts w:hint="eastAsia" w:ascii="Tahoma" w:hAnsi="Tahoma"/>
      <w:sz w:val="24"/>
      <w:szCs w:val="20"/>
    </w:rPr>
  </w:style>
  <w:style w:type="paragraph" w:customStyle="1" w:styleId="453">
    <w:name w:val="TOC 标题2"/>
    <w:basedOn w:val="3"/>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qFormat/>
    <w:uiPriority w:val="99"/>
    <w:pPr>
      <w:jc w:val="left"/>
      <w:outlineLvl w:val="7"/>
    </w:pPr>
    <w:rPr>
      <w:rFonts w:ascii="宋体" w:hAnsi="宋体" w:cs="宋体"/>
      <w:kern w:val="0"/>
      <w:sz w:val="28"/>
      <w:szCs w:val="28"/>
      <w:lang w:eastAsia="en-US"/>
    </w:rPr>
  </w:style>
  <w:style w:type="paragraph" w:customStyle="1" w:styleId="455">
    <w:name w:val="_Style 17"/>
    <w:basedOn w:val="1"/>
    <w:qFormat/>
    <w:uiPriority w:val="0"/>
    <w:pPr>
      <w:widowControl/>
      <w:spacing w:line="400" w:lineRule="exact"/>
      <w:jc w:val="center"/>
    </w:pPr>
    <w:rPr>
      <w:rFonts w:ascii="宋体"/>
      <w:kern w:val="0"/>
      <w:sz w:val="24"/>
    </w:rPr>
  </w:style>
  <w:style w:type="paragraph" w:customStyle="1" w:styleId="456">
    <w:name w:val="xl27"/>
    <w:basedOn w:val="1"/>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qFormat/>
    <w:uiPriority w:val="99"/>
    <w:rPr>
      <w:rFonts w:ascii="Tahoma" w:hAnsi="Tahoma"/>
      <w:sz w:val="24"/>
      <w:szCs w:val="20"/>
    </w:rPr>
  </w:style>
  <w:style w:type="paragraph" w:customStyle="1" w:styleId="458">
    <w:name w:val="样式8"/>
    <w:basedOn w:val="1"/>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qFormat/>
    <w:uiPriority w:val="0"/>
    <w:rPr>
      <w:rFonts w:ascii="宋体"/>
      <w:kern w:val="0"/>
      <w:sz w:val="24"/>
      <w:szCs w:val="20"/>
    </w:rPr>
  </w:style>
  <w:style w:type="paragraph" w:customStyle="1" w:styleId="463">
    <w:name w:val="Char Char Char Char"/>
    <w:basedOn w:val="1"/>
    <w:next w:val="1"/>
    <w:qFormat/>
    <w:uiPriority w:val="99"/>
    <w:pPr>
      <w:widowControl/>
      <w:spacing w:after="160" w:line="240" w:lineRule="exact"/>
      <w:jc w:val="left"/>
    </w:pPr>
  </w:style>
  <w:style w:type="paragraph" w:customStyle="1" w:styleId="464">
    <w:name w:val="Char Char Char Char Char Char Char1"/>
    <w:basedOn w:val="1"/>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4"/>
    <w:qFormat/>
    <w:uiPriority w:val="0"/>
    <w:pPr>
      <w:spacing w:before="100" w:line="400" w:lineRule="exact"/>
      <w:jc w:val="both"/>
    </w:pPr>
    <w:rPr>
      <w:rFonts w:eastAsia="黑体" w:cs="宋体"/>
      <w:bCs w:val="0"/>
      <w:color w:val="auto"/>
      <w:kern w:val="0"/>
      <w:szCs w:val="20"/>
    </w:rPr>
  </w:style>
  <w:style w:type="paragraph" w:customStyle="1" w:styleId="466">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qFormat/>
    <w:uiPriority w:val="99"/>
    <w:pPr>
      <w:jc w:val="center"/>
    </w:pPr>
    <w:rPr>
      <w:rFonts w:eastAsia="黑体" w:cs="宋体"/>
      <w:sz w:val="36"/>
      <w:szCs w:val="20"/>
    </w:rPr>
  </w:style>
  <w:style w:type="paragraph" w:customStyle="1" w:styleId="468">
    <w:name w:val="样式 首行缩进:  2 字符"/>
    <w:basedOn w:val="1"/>
    <w:qFormat/>
    <w:uiPriority w:val="99"/>
    <w:pPr>
      <w:spacing w:line="360" w:lineRule="auto"/>
      <w:ind w:firstLine="480" w:firstLineChars="200"/>
    </w:pPr>
    <w:rPr>
      <w:rFonts w:ascii="Arial" w:hAnsi="Arial"/>
      <w:sz w:val="24"/>
      <w:szCs w:val="20"/>
    </w:rPr>
  </w:style>
  <w:style w:type="paragraph" w:customStyle="1" w:styleId="469">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qFormat/>
    <w:uiPriority w:val="0"/>
    <w:rPr>
      <w:rFonts w:ascii="Tahoma" w:hAnsi="Tahoma"/>
      <w:sz w:val="24"/>
      <w:szCs w:val="20"/>
    </w:rPr>
  </w:style>
  <w:style w:type="paragraph" w:customStyle="1" w:styleId="472">
    <w:name w:val="_Style 16"/>
    <w:basedOn w:val="1"/>
    <w:qFormat/>
    <w:uiPriority w:val="99"/>
    <w:pPr>
      <w:widowControl/>
      <w:spacing w:line="400" w:lineRule="exact"/>
      <w:jc w:val="center"/>
    </w:pPr>
    <w:rPr>
      <w:szCs w:val="21"/>
    </w:rPr>
  </w:style>
  <w:style w:type="paragraph" w:customStyle="1" w:styleId="473">
    <w:name w:val="Char21"/>
    <w:basedOn w:val="1"/>
    <w:qFormat/>
    <w:uiPriority w:val="99"/>
    <w:rPr>
      <w:rFonts w:ascii="Tahoma" w:hAnsi="Tahoma"/>
      <w:kern w:val="0"/>
      <w:sz w:val="24"/>
      <w:szCs w:val="20"/>
    </w:rPr>
  </w:style>
  <w:style w:type="paragraph" w:customStyle="1" w:styleId="474">
    <w:name w:val="列出段落2"/>
    <w:basedOn w:val="1"/>
    <w:qFormat/>
    <w:uiPriority w:val="99"/>
    <w:pPr>
      <w:ind w:firstLine="420" w:firstLineChars="200"/>
    </w:pPr>
    <w:rPr>
      <w:rFonts w:ascii="Calibri" w:hAnsi="Calibri"/>
      <w:szCs w:val="20"/>
    </w:rPr>
  </w:style>
  <w:style w:type="paragraph" w:customStyle="1" w:styleId="475">
    <w:name w:val="reader-word-layer reader-word-s1-11"/>
    <w:basedOn w:val="1"/>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qFormat/>
    <w:uiPriority w:val="99"/>
  </w:style>
  <w:style w:type="paragraph" w:customStyle="1" w:styleId="478">
    <w:name w:val="Heading 41"/>
    <w:basedOn w:val="1"/>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qFormat/>
    <w:uiPriority w:val="0"/>
    <w:rPr>
      <w:rFonts w:ascii="Tahoma" w:hAnsi="Tahoma"/>
      <w:sz w:val="24"/>
      <w:szCs w:val="20"/>
    </w:rPr>
  </w:style>
  <w:style w:type="paragraph" w:customStyle="1" w:styleId="482">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qFormat/>
    <w:uiPriority w:val="0"/>
    <w:pPr>
      <w:suppressLineNumbers/>
      <w:suppressAutoHyphens/>
    </w:pPr>
    <w:rPr>
      <w:kern w:val="1"/>
      <w:szCs w:val="21"/>
      <w:lang w:eastAsia="ar-SA"/>
    </w:rPr>
  </w:style>
  <w:style w:type="paragraph" w:customStyle="1" w:styleId="484">
    <w:name w:val="样式 (中文) 黑体 小二 行距: 1.5 倍行距"/>
    <w:basedOn w:val="1"/>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5"/>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qFormat/>
    <w:uiPriority w:val="99"/>
    <w:pPr>
      <w:tabs>
        <w:tab w:val="left" w:pos="420"/>
      </w:tabs>
      <w:ind w:left="420" w:hanging="420"/>
    </w:pPr>
    <w:rPr>
      <w:rFonts w:ascii="Tahoma" w:hAnsi="Tahoma"/>
      <w:sz w:val="24"/>
      <w:szCs w:val="20"/>
    </w:rPr>
  </w:style>
  <w:style w:type="paragraph" w:customStyle="1" w:styleId="490">
    <w:name w:val="_Style 10"/>
    <w:basedOn w:val="1"/>
    <w:qFormat/>
    <w:uiPriority w:val="99"/>
    <w:pPr>
      <w:widowControl/>
      <w:spacing w:line="400" w:lineRule="exact"/>
      <w:jc w:val="center"/>
    </w:pPr>
  </w:style>
  <w:style w:type="paragraph" w:customStyle="1" w:styleId="491">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4"/>
    <w:qFormat/>
    <w:uiPriority w:val="99"/>
    <w:pPr>
      <w:spacing w:before="260" w:after="260"/>
    </w:pPr>
    <w:rPr>
      <w:rFonts w:ascii="Arial" w:eastAsia="黑体"/>
      <w:szCs w:val="32"/>
    </w:rPr>
  </w:style>
  <w:style w:type="paragraph" w:customStyle="1" w:styleId="495">
    <w:name w:val="样式 Arial 小一 加粗 居中 段标题a"/>
    <w:basedOn w:val="1"/>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qFormat/>
    <w:uiPriority w:val="99"/>
    <w:pPr>
      <w:tabs>
        <w:tab w:val="left" w:pos="420"/>
      </w:tabs>
      <w:ind w:left="420" w:hanging="420"/>
    </w:pPr>
    <w:rPr>
      <w:rFonts w:ascii="Tahoma" w:hAnsi="Tahoma"/>
      <w:sz w:val="24"/>
      <w:szCs w:val="20"/>
    </w:rPr>
  </w:style>
  <w:style w:type="paragraph" w:customStyle="1" w:styleId="498">
    <w:name w:val="样式 标题 3 + 仿宋_GB2312"/>
    <w:basedOn w:val="5"/>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4"/>
    <w:next w:val="1"/>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4"/>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7"/>
    <w:qFormat/>
    <w:uiPriority w:val="0"/>
    <w:pPr>
      <w:shd w:val="clear" w:color="auto" w:fill="000080"/>
    </w:pPr>
    <w:rPr>
      <w:rFonts w:ascii="Times New Roman" w:hAnsi="Times New Roman"/>
      <w:sz w:val="21"/>
      <w:szCs w:val="24"/>
    </w:rPr>
  </w:style>
  <w:style w:type="paragraph" w:customStyle="1" w:styleId="504">
    <w:name w:val="reader-word-layer reader-word-s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qFormat/>
    <w:uiPriority w:val="99"/>
    <w:rPr>
      <w:szCs w:val="20"/>
    </w:rPr>
  </w:style>
  <w:style w:type="paragraph" w:customStyle="1" w:styleId="506">
    <w:name w:val="Char Char Char Char Char Char Char Char Char Char Char Char Char Char Char Char Char Char1 Char Char Char Char"/>
    <w:basedOn w:val="1"/>
    <w:qFormat/>
    <w:uiPriority w:val="0"/>
  </w:style>
  <w:style w:type="paragraph" w:customStyle="1" w:styleId="507">
    <w:name w:val="样式 宋体 首行缩进:  2 字符 段前: 7.8 磅 段后: 7.8 磅"/>
    <w:basedOn w:val="1"/>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qFormat/>
    <w:uiPriority w:val="99"/>
    <w:pPr>
      <w:suppressLineNumbers/>
      <w:suppressAutoHyphens/>
      <w:spacing w:before="120" w:after="120"/>
    </w:pPr>
    <w:rPr>
      <w:i/>
      <w:iCs/>
      <w:kern w:val="1"/>
      <w:sz w:val="24"/>
      <w:lang w:eastAsia="ar-SA"/>
    </w:rPr>
  </w:style>
  <w:style w:type="paragraph" w:customStyle="1" w:styleId="509">
    <w:name w:val="_Style 11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7"/>
    <w:qFormat/>
    <w:uiPriority w:val="0"/>
    <w:pPr>
      <w:shd w:val="clear" w:color="auto" w:fill="000080"/>
    </w:pPr>
    <w:rPr>
      <w:rFonts w:ascii="Times New Roman" w:hAnsi="Times New Roman"/>
      <w:sz w:val="21"/>
      <w:szCs w:val="24"/>
    </w:rPr>
  </w:style>
  <w:style w:type="paragraph" w:customStyle="1" w:styleId="511">
    <w:name w:val="Char Char2 Char Char Char Char2"/>
    <w:basedOn w:val="1"/>
    <w:qFormat/>
    <w:uiPriority w:val="99"/>
    <w:rPr>
      <w:rFonts w:ascii="Tahoma" w:hAnsi="Tahoma"/>
      <w:kern w:val="0"/>
      <w:sz w:val="24"/>
      <w:szCs w:val="20"/>
    </w:rPr>
  </w:style>
  <w:style w:type="paragraph" w:customStyle="1" w:styleId="512">
    <w:name w:val="Blockquote"/>
    <w:basedOn w:val="1"/>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qFormat/>
    <w:uiPriority w:val="0"/>
    <w:pPr>
      <w:ind w:firstLine="420" w:firstLineChars="200"/>
    </w:pPr>
    <w:rPr>
      <w:rFonts w:ascii="Calibri" w:hAnsi="Calibri"/>
      <w:szCs w:val="22"/>
    </w:rPr>
  </w:style>
  <w:style w:type="paragraph" w:customStyle="1" w:styleId="516">
    <w:name w:val="reader-word-layer reader-word-s1-10"/>
    <w:basedOn w:val="1"/>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7"/>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qFormat/>
    <w:uiPriority w:val="99"/>
  </w:style>
  <w:style w:type="paragraph" w:customStyle="1" w:styleId="52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7"/>
    <w:qFormat/>
    <w:uiPriority w:val="99"/>
    <w:pPr>
      <w:shd w:val="clear" w:color="auto" w:fill="000080"/>
    </w:pPr>
    <w:rPr>
      <w:rFonts w:ascii="Times New Roman" w:hAnsi="Times New Roman"/>
      <w:sz w:val="21"/>
      <w:szCs w:val="24"/>
    </w:rPr>
  </w:style>
  <w:style w:type="paragraph" w:customStyle="1" w:styleId="523">
    <w:name w:val="pa-0"/>
    <w:basedOn w:val="1"/>
    <w:qFormat/>
    <w:uiPriority w:val="99"/>
    <w:pPr>
      <w:widowControl/>
      <w:spacing w:line="240" w:lineRule="atLeast"/>
    </w:pPr>
    <w:rPr>
      <w:rFonts w:ascii="宋体" w:hAnsi="宋体" w:cs="宋体"/>
      <w:kern w:val="0"/>
      <w:sz w:val="24"/>
    </w:rPr>
  </w:style>
  <w:style w:type="paragraph" w:customStyle="1" w:styleId="52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qFormat/>
    <w:uiPriority w:val="99"/>
    <w:pPr>
      <w:tabs>
        <w:tab w:val="left" w:pos="8300"/>
      </w:tabs>
      <w:ind w:right="13"/>
      <w:jc w:val="right"/>
    </w:pPr>
    <w:rPr>
      <w:rFonts w:eastAsia="仿宋_GB2312"/>
      <w:sz w:val="28"/>
    </w:rPr>
  </w:style>
  <w:style w:type="paragraph" w:customStyle="1" w:styleId="52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3"/>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qFormat/>
    <w:uiPriority w:val="0"/>
    <w:rPr>
      <w:rFonts w:ascii="宋体"/>
      <w:kern w:val="0"/>
      <w:sz w:val="24"/>
      <w:szCs w:val="20"/>
    </w:rPr>
  </w:style>
  <w:style w:type="paragraph" w:customStyle="1" w:styleId="534">
    <w:name w:val="xl32"/>
    <w:basedOn w:val="1"/>
    <w:qFormat/>
    <w:uiPriority w:val="0"/>
    <w:pPr>
      <w:widowControl/>
      <w:spacing w:before="100" w:beforeAutospacing="1" w:after="100" w:afterAutospacing="1"/>
      <w:jc w:val="left"/>
    </w:pPr>
    <w:rPr>
      <w:kern w:val="0"/>
      <w:sz w:val="24"/>
    </w:rPr>
  </w:style>
  <w:style w:type="paragraph" w:customStyle="1" w:styleId="535">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qFormat/>
    <w:uiPriority w:val="99"/>
    <w:rPr>
      <w:szCs w:val="20"/>
    </w:rPr>
  </w:style>
  <w:style w:type="paragraph" w:customStyle="1" w:styleId="542">
    <w:name w:val="样式6"/>
    <w:basedOn w:val="39"/>
    <w:next w:val="1"/>
    <w:qFormat/>
    <w:uiPriority w:val="99"/>
    <w:pPr>
      <w:tabs>
        <w:tab w:val="right" w:leader="dot" w:pos="9200"/>
      </w:tabs>
    </w:pPr>
    <w:rPr>
      <w:rFonts w:eastAsia="仿宋_GB2312"/>
      <w:sz w:val="28"/>
      <w:szCs w:val="21"/>
    </w:rPr>
  </w:style>
  <w:style w:type="paragraph" w:customStyle="1" w:styleId="543">
    <w:name w:val="Heading"/>
    <w:basedOn w:val="1"/>
    <w:next w:val="2"/>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qFormat/>
    <w:uiPriority w:val="0"/>
    <w:pPr>
      <w:widowControl/>
      <w:spacing w:after="160" w:line="240" w:lineRule="exact"/>
      <w:jc w:val="left"/>
    </w:pPr>
    <w:rPr>
      <w:rFonts w:ascii="宋体"/>
      <w:kern w:val="0"/>
      <w:sz w:val="24"/>
      <w:szCs w:val="20"/>
    </w:rPr>
  </w:style>
  <w:style w:type="paragraph" w:customStyle="1" w:styleId="545">
    <w:name w:val="Contents 10"/>
    <w:basedOn w:val="483"/>
    <w:qFormat/>
    <w:uiPriority w:val="0"/>
    <w:pPr>
      <w:tabs>
        <w:tab w:val="right" w:leader="dot" w:pos="7090"/>
      </w:tabs>
      <w:ind w:left="2547"/>
    </w:pPr>
  </w:style>
  <w:style w:type="paragraph" w:customStyle="1" w:styleId="546">
    <w:name w:val="he"/>
    <w:basedOn w:val="1"/>
    <w:next w:val="1"/>
    <w:qFormat/>
    <w:uiPriority w:val="99"/>
    <w:rPr>
      <w:rFonts w:ascii="宋体"/>
      <w:kern w:val="0"/>
      <w:sz w:val="24"/>
      <w:szCs w:val="20"/>
    </w:rPr>
  </w:style>
  <w:style w:type="paragraph" w:customStyle="1" w:styleId="547">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3"/>
    <w:next w:val="1"/>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554">
    <w:name w:val="Char3"/>
    <w:basedOn w:val="1"/>
    <w:qFormat/>
    <w:uiPriority w:val="0"/>
    <w:rPr>
      <w:rFonts w:ascii="Tahoma" w:hAnsi="Tahoma"/>
      <w:kern w:val="0"/>
      <w:sz w:val="24"/>
      <w:szCs w:val="20"/>
    </w:rPr>
  </w:style>
  <w:style w:type="paragraph" w:customStyle="1" w:styleId="555">
    <w:name w:val="标题 61"/>
    <w:basedOn w:val="1"/>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qFormat/>
    <w:uiPriority w:val="0"/>
    <w:rPr>
      <w:rFonts w:ascii="Tahoma" w:hAnsi="Tahoma"/>
      <w:kern w:val="0"/>
      <w:sz w:val="24"/>
      <w:szCs w:val="20"/>
    </w:rPr>
  </w:style>
  <w:style w:type="paragraph" w:customStyle="1" w:styleId="558">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qFormat/>
    <w:uiPriority w:val="0"/>
    <w:pPr>
      <w:widowControl/>
      <w:spacing w:line="400" w:lineRule="exact"/>
      <w:jc w:val="center"/>
    </w:pPr>
    <w:rPr>
      <w:rFonts w:ascii="Verdana" w:hAnsi="Verdana"/>
      <w:kern w:val="0"/>
      <w:sz w:val="24"/>
      <w:szCs w:val="20"/>
      <w:lang w:eastAsia="en-US"/>
    </w:rPr>
  </w:style>
  <w:style w:type="paragraph" w:customStyle="1" w:styleId="562">
    <w:name w:val="正文4"/>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qFormat/>
    <w:uiPriority w:val="0"/>
    <w:pPr>
      <w:ind w:firstLine="480" w:firstLineChars="200"/>
    </w:pPr>
    <w:rPr>
      <w:lang w:val="zh-CN"/>
    </w:rPr>
  </w:style>
  <w:style w:type="paragraph" w:customStyle="1" w:styleId="56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49</Pages>
  <Words>22235</Words>
  <Characters>23200</Characters>
  <Lines>199</Lines>
  <Paragraphs>56</Paragraphs>
  <TotalTime>26</TotalTime>
  <ScaleCrop>false</ScaleCrop>
  <LinksUpToDate>false</LinksUpToDate>
  <CharactersWithSpaces>24774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赵一轲月</cp:lastModifiedBy>
  <cp:lastPrinted>2023-08-17T04:12:00Z</cp:lastPrinted>
  <dcterms:modified xsi:type="dcterms:W3CDTF">2025-08-05T14:52:57Z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9A48155FBEB04522B375C5B6CB0D9F64_13</vt:lpwstr>
  </property>
  <property fmtid="{D5CDD505-2E9C-101B-9397-08002B2CF9AE}" pid="4" name="KSOTemplateDocerSaveRecord">
    <vt:lpwstr>eyJoZGlkIjoiMTc1ZWFjNDcyM2Q5NjQzZWE4ODg0MDU0N2VhNjM1ODIiLCJ1c2VySWQiOiIzNjIwODIzNjMifQ==</vt:lpwstr>
  </property>
</Properties>
</file>