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1D35">
      <w:pPr>
        <w:adjustRightInd w:val="0"/>
        <w:snapToGrid w:val="0"/>
        <w:spacing w:line="360" w:lineRule="auto"/>
        <w:jc w:val="center"/>
        <w:textAlignment w:val="baseline"/>
        <w:rPr>
          <w:rFonts w:ascii="宋体" w:hAnsi="宋体" w:cs="宋体"/>
          <w:b/>
          <w:color w:val="auto"/>
          <w:kern w:val="0"/>
          <w:sz w:val="56"/>
          <w:szCs w:val="56"/>
          <w:highlight w:val="none"/>
        </w:rPr>
      </w:pPr>
    </w:p>
    <w:p w14:paraId="09B87655">
      <w:pPr>
        <w:adjustRightInd w:val="0"/>
        <w:snapToGrid w:val="0"/>
        <w:spacing w:line="360" w:lineRule="auto"/>
        <w:jc w:val="center"/>
        <w:textAlignment w:val="baseline"/>
        <w:rPr>
          <w:rFonts w:ascii="宋体" w:hAnsi="宋体" w:cs="宋体"/>
          <w:b/>
          <w:color w:val="auto"/>
          <w:kern w:val="0"/>
          <w:sz w:val="56"/>
          <w:szCs w:val="56"/>
          <w:highlight w:val="none"/>
        </w:rPr>
      </w:pPr>
    </w:p>
    <w:p w14:paraId="26031A0D">
      <w:pPr>
        <w:adjustRightInd w:val="0"/>
        <w:snapToGrid w:val="0"/>
        <w:spacing w:line="360" w:lineRule="auto"/>
        <w:jc w:val="center"/>
        <w:textAlignment w:val="baseline"/>
        <w:rPr>
          <w:rFonts w:hint="eastAsia" w:ascii="宋体" w:hAnsi="宋体" w:eastAsia="宋体" w:cs="宋体"/>
          <w:b/>
          <w:color w:val="auto"/>
          <w:kern w:val="0"/>
          <w:sz w:val="60"/>
          <w:szCs w:val="52"/>
          <w:highlight w:val="none"/>
          <w:lang w:eastAsia="zh-CN"/>
        </w:rPr>
      </w:pPr>
      <w:r>
        <w:rPr>
          <w:rFonts w:hint="eastAsia" w:ascii="宋体" w:hAnsi="宋体" w:cs="宋体"/>
          <w:b/>
          <w:color w:val="auto"/>
          <w:kern w:val="0"/>
          <w:sz w:val="52"/>
          <w:szCs w:val="52"/>
          <w:highlight w:val="none"/>
          <w:lang w:eastAsia="zh-CN"/>
        </w:rPr>
        <w:t>海安大生鑫天地LED屏幕采购及安装项目</w:t>
      </w:r>
    </w:p>
    <w:p w14:paraId="4BEC5D90">
      <w:pPr>
        <w:adjustRightInd w:val="0"/>
        <w:snapToGrid w:val="0"/>
        <w:spacing w:line="360" w:lineRule="auto"/>
        <w:jc w:val="center"/>
        <w:textAlignment w:val="baseline"/>
        <w:rPr>
          <w:rFonts w:ascii="宋体" w:hAnsi="宋体" w:cs="宋体"/>
          <w:b/>
          <w:color w:val="auto"/>
          <w:kern w:val="0"/>
          <w:sz w:val="52"/>
          <w:szCs w:val="52"/>
          <w:highlight w:val="none"/>
        </w:rPr>
      </w:pPr>
    </w:p>
    <w:p w14:paraId="77F1DF9B">
      <w:pPr>
        <w:adjustRightInd w:val="0"/>
        <w:snapToGrid w:val="0"/>
        <w:spacing w:line="360" w:lineRule="auto"/>
        <w:jc w:val="center"/>
        <w:textAlignment w:val="baseline"/>
        <w:rPr>
          <w:rFonts w:ascii="宋体" w:hAnsi="宋体" w:cs="宋体"/>
          <w:b/>
          <w:color w:val="auto"/>
          <w:kern w:val="0"/>
          <w:sz w:val="52"/>
          <w:szCs w:val="52"/>
          <w:highlight w:val="none"/>
        </w:rPr>
      </w:pPr>
    </w:p>
    <w:p w14:paraId="1026A830">
      <w:pPr>
        <w:adjustRightInd w:val="0"/>
        <w:snapToGrid w:val="0"/>
        <w:spacing w:line="360" w:lineRule="auto"/>
        <w:jc w:val="center"/>
        <w:textAlignment w:val="baseline"/>
        <w:rPr>
          <w:rFonts w:hint="eastAsia" w:ascii="宋体" w:hAnsi="宋体" w:cs="宋体"/>
          <w:b/>
          <w:color w:val="auto"/>
          <w:kern w:val="0"/>
          <w:sz w:val="60"/>
          <w:szCs w:val="52"/>
          <w:highlight w:val="none"/>
        </w:rPr>
      </w:pPr>
    </w:p>
    <w:p w14:paraId="66CC3954">
      <w:pPr>
        <w:adjustRightInd w:val="0"/>
        <w:snapToGrid w:val="0"/>
        <w:spacing w:line="360" w:lineRule="auto"/>
        <w:jc w:val="center"/>
        <w:textAlignment w:val="baseline"/>
        <w:rPr>
          <w:rFonts w:ascii="宋体" w:hAnsi="宋体" w:cs="宋体"/>
          <w:b/>
          <w:color w:val="auto"/>
          <w:kern w:val="0"/>
          <w:sz w:val="60"/>
          <w:szCs w:val="52"/>
          <w:highlight w:val="none"/>
        </w:rPr>
      </w:pPr>
      <w:r>
        <w:rPr>
          <w:rFonts w:hint="eastAsia" w:ascii="宋体" w:hAnsi="宋体" w:cs="宋体"/>
          <w:b/>
          <w:color w:val="auto"/>
          <w:kern w:val="0"/>
          <w:sz w:val="60"/>
          <w:szCs w:val="52"/>
          <w:highlight w:val="none"/>
        </w:rPr>
        <w:t>竞争性磋商文件</w:t>
      </w:r>
    </w:p>
    <w:p w14:paraId="677D4BFF">
      <w:pPr>
        <w:adjustRightInd w:val="0"/>
        <w:snapToGrid w:val="0"/>
        <w:spacing w:line="360" w:lineRule="auto"/>
        <w:jc w:val="center"/>
        <w:textAlignment w:val="baseline"/>
        <w:rPr>
          <w:rFonts w:ascii="宋体" w:hAnsi="宋体" w:cs="宋体"/>
          <w:b/>
          <w:color w:val="auto"/>
          <w:kern w:val="0"/>
          <w:sz w:val="40"/>
          <w:szCs w:val="40"/>
          <w:highlight w:val="none"/>
        </w:rPr>
      </w:pPr>
      <w:r>
        <w:rPr>
          <w:rFonts w:hint="eastAsia" w:ascii="宋体" w:hAnsi="宋体" w:cs="宋体"/>
          <w:b/>
          <w:color w:val="auto"/>
          <w:kern w:val="0"/>
          <w:sz w:val="40"/>
          <w:szCs w:val="40"/>
          <w:highlight w:val="none"/>
        </w:rPr>
        <w:t>（资格后审）</w:t>
      </w:r>
    </w:p>
    <w:p w14:paraId="105DA280">
      <w:pPr>
        <w:adjustRightInd w:val="0"/>
        <w:snapToGrid w:val="0"/>
        <w:spacing w:line="360" w:lineRule="auto"/>
        <w:jc w:val="center"/>
        <w:textAlignment w:val="baseline"/>
        <w:rPr>
          <w:rFonts w:ascii="宋体" w:hAnsi="宋体" w:cs="宋体"/>
          <w:b/>
          <w:color w:val="auto"/>
          <w:kern w:val="0"/>
          <w:sz w:val="36"/>
          <w:highlight w:val="none"/>
        </w:rPr>
      </w:pPr>
    </w:p>
    <w:p w14:paraId="56170729">
      <w:pPr>
        <w:adjustRightInd w:val="0"/>
        <w:snapToGrid w:val="0"/>
        <w:spacing w:line="360" w:lineRule="auto"/>
        <w:jc w:val="center"/>
        <w:textAlignment w:val="baseline"/>
        <w:rPr>
          <w:rFonts w:ascii="宋体" w:hAnsi="宋体" w:cs="宋体"/>
          <w:b/>
          <w:color w:val="auto"/>
          <w:kern w:val="0"/>
          <w:sz w:val="36"/>
          <w:highlight w:val="none"/>
        </w:rPr>
      </w:pPr>
    </w:p>
    <w:p w14:paraId="7E9F83DC">
      <w:pPr>
        <w:adjustRightInd w:val="0"/>
        <w:snapToGrid w:val="0"/>
        <w:spacing w:line="360" w:lineRule="auto"/>
        <w:jc w:val="center"/>
        <w:textAlignment w:val="baseline"/>
        <w:rPr>
          <w:rFonts w:hint="eastAsia" w:ascii="宋体" w:hAnsi="宋体" w:cs="宋体"/>
          <w:b/>
          <w:color w:val="auto"/>
          <w:kern w:val="0"/>
          <w:sz w:val="32"/>
          <w:szCs w:val="32"/>
          <w:highlight w:val="none"/>
        </w:rPr>
      </w:pPr>
    </w:p>
    <w:p w14:paraId="442D5F2A">
      <w:pPr>
        <w:adjustRightInd w:val="0"/>
        <w:snapToGrid w:val="0"/>
        <w:spacing w:line="360" w:lineRule="auto"/>
        <w:jc w:val="center"/>
        <w:textAlignment w:val="baseline"/>
        <w:rPr>
          <w:rFonts w:hint="eastAsia" w:ascii="宋体" w:hAnsi="宋体" w:cs="宋体"/>
          <w:b/>
          <w:color w:val="auto"/>
          <w:kern w:val="0"/>
          <w:sz w:val="32"/>
          <w:szCs w:val="32"/>
          <w:highlight w:val="none"/>
        </w:rPr>
      </w:pPr>
    </w:p>
    <w:p w14:paraId="4D1BACE4">
      <w:pPr>
        <w:adjustRightInd w:val="0"/>
        <w:snapToGrid w:val="0"/>
        <w:spacing w:line="360" w:lineRule="auto"/>
        <w:jc w:val="center"/>
        <w:textAlignment w:val="baseline"/>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rPr>
        <w:t>采购单位：</w:t>
      </w:r>
      <w:r>
        <w:rPr>
          <w:rFonts w:hint="eastAsia" w:ascii="宋体" w:hAnsi="宋体" w:cs="宋体"/>
          <w:b/>
          <w:color w:val="auto"/>
          <w:kern w:val="0"/>
          <w:sz w:val="32"/>
          <w:szCs w:val="32"/>
          <w:highlight w:val="none"/>
          <w:u w:val="single"/>
          <w:lang w:eastAsia="zh-CN"/>
        </w:rPr>
        <w:t>江苏大晟文化产业发展有限公司</w:t>
      </w:r>
    </w:p>
    <w:p w14:paraId="5097684F">
      <w:pPr>
        <w:adjustRightInd w:val="0"/>
        <w:snapToGrid w:val="0"/>
        <w:spacing w:line="360" w:lineRule="auto"/>
        <w:jc w:val="center"/>
        <w:textAlignment w:val="baseline"/>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代理机构：</w:t>
      </w:r>
      <w:r>
        <w:rPr>
          <w:rFonts w:hint="eastAsia" w:ascii="宋体" w:hAnsi="宋体" w:cs="宋体"/>
          <w:b/>
          <w:color w:val="auto"/>
          <w:kern w:val="0"/>
          <w:sz w:val="32"/>
          <w:szCs w:val="32"/>
          <w:highlight w:val="none"/>
          <w:u w:val="single"/>
        </w:rPr>
        <w:t>宏信天德工程顾问有限公司</w:t>
      </w:r>
    </w:p>
    <w:p w14:paraId="6B1DC13D">
      <w:pPr>
        <w:adjustRightInd w:val="0"/>
        <w:snapToGrid w:val="0"/>
        <w:spacing w:line="360" w:lineRule="auto"/>
        <w:jc w:val="center"/>
        <w:textAlignment w:val="baseline"/>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二〇二五年</w:t>
      </w:r>
      <w:r>
        <w:rPr>
          <w:rFonts w:hint="eastAsia" w:ascii="宋体" w:hAnsi="宋体" w:cs="宋体"/>
          <w:b/>
          <w:color w:val="auto"/>
          <w:kern w:val="0"/>
          <w:sz w:val="32"/>
          <w:szCs w:val="32"/>
          <w:highlight w:val="none"/>
          <w:lang w:val="en-US" w:eastAsia="zh-CN"/>
        </w:rPr>
        <w:t>十</w:t>
      </w:r>
      <w:r>
        <w:rPr>
          <w:rFonts w:hint="eastAsia" w:ascii="宋体" w:hAnsi="宋体" w:cs="宋体"/>
          <w:b/>
          <w:color w:val="auto"/>
          <w:kern w:val="0"/>
          <w:sz w:val="32"/>
          <w:szCs w:val="32"/>
          <w:highlight w:val="none"/>
        </w:rPr>
        <w:t>月</w:t>
      </w:r>
    </w:p>
    <w:p w14:paraId="6BD92823">
      <w:pPr>
        <w:widowControl/>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44"/>
          <w:szCs w:val="44"/>
          <w:highlight w:val="none"/>
        </w:rPr>
        <w:t>目  录</w:t>
      </w:r>
    </w:p>
    <w:p w14:paraId="4E8715F4">
      <w:pPr>
        <w:overflowPunct w:val="0"/>
        <w:adjustRightInd w:val="0"/>
        <w:snapToGrid w:val="0"/>
        <w:spacing w:line="360" w:lineRule="auto"/>
        <w:ind w:firstLine="600" w:firstLineChars="200"/>
        <w:jc w:val="center"/>
        <w:rPr>
          <w:rFonts w:ascii="宋体" w:hAnsi="宋体" w:cs="宋体"/>
          <w:color w:val="auto"/>
          <w:kern w:val="0"/>
          <w:sz w:val="30"/>
          <w:szCs w:val="20"/>
          <w:highlight w:val="none"/>
        </w:rPr>
      </w:pPr>
    </w:p>
    <w:p w14:paraId="70D49E20">
      <w:pPr>
        <w:pStyle w:val="33"/>
        <w:tabs>
          <w:tab w:val="right" w:pos="8505"/>
        </w:tabs>
        <w:snapToGrid w:val="0"/>
        <w:spacing w:line="360" w:lineRule="auto"/>
        <w:rPr>
          <w:rFonts w:ascii="宋体" w:hAnsi="宋体" w:eastAsia="宋体" w:cs="宋体"/>
          <w:color w:val="auto"/>
          <w:sz w:val="32"/>
          <w:szCs w:val="22"/>
          <w:highlight w:val="none"/>
        </w:rPr>
      </w:pPr>
      <w:r>
        <w:rPr>
          <w:rFonts w:hint="eastAsia" w:ascii="宋体" w:hAnsi="宋体" w:eastAsia="宋体" w:cs="宋体"/>
          <w:color w:val="auto"/>
          <w:kern w:val="0"/>
          <w:sz w:val="36"/>
          <w:szCs w:val="36"/>
          <w:highlight w:val="none"/>
        </w:rPr>
        <w:fldChar w:fldCharType="begin"/>
      </w:r>
      <w:r>
        <w:rPr>
          <w:rFonts w:hint="eastAsia" w:ascii="宋体" w:hAnsi="宋体" w:eastAsia="宋体" w:cs="宋体"/>
          <w:color w:val="auto"/>
          <w:kern w:val="0"/>
          <w:sz w:val="36"/>
          <w:szCs w:val="36"/>
          <w:highlight w:val="none"/>
        </w:rPr>
        <w:instrText xml:space="preserve">TOC \o "1-1" \n  \h \u </w:instrText>
      </w:r>
      <w:r>
        <w:rPr>
          <w:rFonts w:hint="eastAsia" w:ascii="宋体" w:hAnsi="宋体" w:eastAsia="宋体" w:cs="宋体"/>
          <w:color w:val="auto"/>
          <w:kern w:val="0"/>
          <w:sz w:val="36"/>
          <w:szCs w:val="36"/>
          <w:highlight w:val="none"/>
        </w:rPr>
        <w:fldChar w:fldCharType="separate"/>
      </w:r>
      <w:r>
        <w:rPr>
          <w:color w:val="auto"/>
          <w:highlight w:val="none"/>
        </w:rPr>
        <w:fldChar w:fldCharType="begin"/>
      </w:r>
      <w:r>
        <w:rPr>
          <w:color w:val="auto"/>
          <w:highlight w:val="none"/>
        </w:rPr>
        <w:instrText xml:space="preserve"> HYPERLINK \l "_Toc6622" </w:instrText>
      </w:r>
      <w:r>
        <w:rPr>
          <w:color w:val="auto"/>
          <w:highlight w:val="none"/>
        </w:rPr>
        <w:fldChar w:fldCharType="separate"/>
      </w:r>
      <w:r>
        <w:rPr>
          <w:rFonts w:hint="eastAsia" w:ascii="宋体" w:hAnsi="宋体" w:eastAsia="宋体" w:cs="宋体"/>
          <w:color w:val="auto"/>
          <w:kern w:val="0"/>
          <w:sz w:val="32"/>
          <w:szCs w:val="44"/>
          <w:highlight w:val="none"/>
        </w:rPr>
        <w:t>第一章 竞争性磋商公告</w:t>
      </w:r>
      <w:r>
        <w:rPr>
          <w:rFonts w:hint="eastAsia" w:ascii="宋体" w:hAnsi="宋体" w:eastAsia="宋体" w:cs="宋体"/>
          <w:color w:val="auto"/>
          <w:kern w:val="0"/>
          <w:sz w:val="32"/>
          <w:szCs w:val="44"/>
          <w:highlight w:val="none"/>
        </w:rPr>
        <w:fldChar w:fldCharType="end"/>
      </w:r>
    </w:p>
    <w:p w14:paraId="16D7EFAD">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"_Toc5381" </w:instrText>
      </w:r>
      <w:r>
        <w:rPr>
          <w:color w:val="auto"/>
          <w:highlight w:val="none"/>
        </w:rPr>
        <w:fldChar w:fldCharType="separate"/>
      </w:r>
      <w:r>
        <w:rPr>
          <w:rFonts w:hint="eastAsia" w:ascii="宋体" w:hAnsi="宋体" w:eastAsia="宋体" w:cs="宋体"/>
          <w:color w:val="auto"/>
          <w:kern w:val="0"/>
          <w:sz w:val="32"/>
          <w:szCs w:val="44"/>
          <w:highlight w:val="none"/>
        </w:rPr>
        <w:t>第二章 供应商须知</w:t>
      </w:r>
      <w:r>
        <w:rPr>
          <w:rFonts w:hint="eastAsia" w:ascii="宋体" w:hAnsi="宋体" w:eastAsia="宋体" w:cs="宋体"/>
          <w:color w:val="auto"/>
          <w:kern w:val="0"/>
          <w:sz w:val="32"/>
          <w:szCs w:val="44"/>
          <w:highlight w:val="none"/>
        </w:rPr>
        <w:fldChar w:fldCharType="end"/>
      </w:r>
    </w:p>
    <w:p w14:paraId="3DEE7024">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"_Toc22255" </w:instrText>
      </w:r>
      <w:r>
        <w:rPr>
          <w:color w:val="auto"/>
          <w:highlight w:val="none"/>
        </w:rPr>
        <w:fldChar w:fldCharType="separate"/>
      </w:r>
      <w:r>
        <w:rPr>
          <w:rFonts w:hint="eastAsia" w:ascii="宋体" w:hAnsi="宋体" w:eastAsia="宋体" w:cs="宋体"/>
          <w:color w:val="auto"/>
          <w:kern w:val="0"/>
          <w:sz w:val="32"/>
          <w:szCs w:val="44"/>
          <w:highlight w:val="none"/>
        </w:rPr>
        <w:t>第三章 项目需求</w:t>
      </w:r>
      <w:r>
        <w:rPr>
          <w:rFonts w:hint="eastAsia" w:ascii="宋体" w:hAnsi="宋体" w:eastAsia="宋体" w:cs="宋体"/>
          <w:color w:val="auto"/>
          <w:kern w:val="0"/>
          <w:sz w:val="32"/>
          <w:szCs w:val="44"/>
          <w:highlight w:val="none"/>
        </w:rPr>
        <w:fldChar w:fldCharType="end"/>
      </w:r>
    </w:p>
    <w:p w14:paraId="2240D6AE">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"_Toc9732" </w:instrText>
      </w:r>
      <w:r>
        <w:rPr>
          <w:color w:val="auto"/>
          <w:highlight w:val="none"/>
        </w:rPr>
        <w:fldChar w:fldCharType="separate"/>
      </w:r>
      <w:r>
        <w:rPr>
          <w:rFonts w:hint="eastAsia" w:ascii="宋体" w:hAnsi="宋体" w:eastAsia="宋体" w:cs="宋体"/>
          <w:color w:val="auto"/>
          <w:kern w:val="0"/>
          <w:sz w:val="32"/>
          <w:szCs w:val="40"/>
          <w:highlight w:val="none"/>
        </w:rPr>
        <w:t>第四章 评审方法和程序</w:t>
      </w:r>
      <w:r>
        <w:rPr>
          <w:rFonts w:hint="eastAsia" w:ascii="宋体" w:hAnsi="宋体" w:eastAsia="宋体" w:cs="宋体"/>
          <w:color w:val="auto"/>
          <w:kern w:val="0"/>
          <w:sz w:val="32"/>
          <w:szCs w:val="40"/>
          <w:highlight w:val="none"/>
        </w:rPr>
        <w:fldChar w:fldCharType="end"/>
      </w:r>
    </w:p>
    <w:p w14:paraId="05C69843">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"_Toc11644" </w:instrText>
      </w:r>
      <w:r>
        <w:rPr>
          <w:color w:val="auto"/>
          <w:highlight w:val="none"/>
        </w:rPr>
        <w:fldChar w:fldCharType="separate"/>
      </w:r>
      <w:r>
        <w:rPr>
          <w:rFonts w:hint="eastAsia" w:ascii="宋体" w:hAnsi="宋体" w:eastAsia="宋体" w:cs="宋体"/>
          <w:color w:val="auto"/>
          <w:kern w:val="0"/>
          <w:sz w:val="32"/>
          <w:szCs w:val="40"/>
          <w:highlight w:val="none"/>
        </w:rPr>
        <w:t xml:space="preserve">第五章 </w:t>
      </w:r>
      <w:r>
        <w:rPr>
          <w:rFonts w:hint="eastAsia" w:ascii="宋体" w:hAnsi="宋体" w:eastAsia="宋体" w:cs="宋体"/>
          <w:color w:val="auto"/>
          <w:sz w:val="32"/>
          <w:szCs w:val="40"/>
          <w:highlight w:val="none"/>
        </w:rPr>
        <w:t>合同协议书</w:t>
      </w:r>
      <w:r>
        <w:rPr>
          <w:rFonts w:hint="eastAsia" w:ascii="宋体" w:hAnsi="宋体" w:eastAsia="宋体" w:cs="宋体"/>
          <w:color w:val="auto"/>
          <w:sz w:val="32"/>
          <w:szCs w:val="40"/>
          <w:highlight w:val="none"/>
        </w:rPr>
        <w:fldChar w:fldCharType="end"/>
      </w:r>
    </w:p>
    <w:p w14:paraId="0BABE0A7">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"_Toc24413" </w:instrText>
      </w:r>
      <w:r>
        <w:rPr>
          <w:color w:val="auto"/>
          <w:highlight w:val="none"/>
        </w:rPr>
        <w:fldChar w:fldCharType="separate"/>
      </w:r>
      <w:r>
        <w:rPr>
          <w:rFonts w:hint="eastAsia" w:ascii="宋体" w:hAnsi="宋体" w:eastAsia="宋体" w:cs="宋体"/>
          <w:color w:val="auto"/>
          <w:kern w:val="0"/>
          <w:sz w:val="32"/>
          <w:szCs w:val="44"/>
          <w:highlight w:val="none"/>
        </w:rPr>
        <w:t>第六章 合同授予</w:t>
      </w:r>
      <w:r>
        <w:rPr>
          <w:rFonts w:hint="eastAsia" w:ascii="宋体" w:hAnsi="宋体" w:eastAsia="宋体" w:cs="宋体"/>
          <w:color w:val="auto"/>
          <w:kern w:val="0"/>
          <w:sz w:val="32"/>
          <w:szCs w:val="44"/>
          <w:highlight w:val="none"/>
        </w:rPr>
        <w:fldChar w:fldCharType="end"/>
      </w:r>
    </w:p>
    <w:p w14:paraId="4D1DA1C5">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"_Toc15753" </w:instrText>
      </w:r>
      <w:r>
        <w:rPr>
          <w:color w:val="auto"/>
          <w:highlight w:val="none"/>
        </w:rPr>
        <w:fldChar w:fldCharType="separate"/>
      </w:r>
      <w:r>
        <w:rPr>
          <w:rFonts w:hint="eastAsia" w:ascii="宋体" w:hAnsi="宋体" w:eastAsia="宋体" w:cs="宋体"/>
          <w:iCs/>
          <w:color w:val="auto"/>
          <w:kern w:val="0"/>
          <w:sz w:val="32"/>
          <w:szCs w:val="40"/>
          <w:highlight w:val="none"/>
        </w:rPr>
        <w:t>第七章 质疑提出和处理</w:t>
      </w:r>
      <w:r>
        <w:rPr>
          <w:rFonts w:hint="eastAsia" w:ascii="宋体" w:hAnsi="宋体" w:eastAsia="宋体" w:cs="宋体"/>
          <w:iCs/>
          <w:color w:val="auto"/>
          <w:kern w:val="0"/>
          <w:sz w:val="32"/>
          <w:szCs w:val="40"/>
          <w:highlight w:val="none"/>
        </w:rPr>
        <w:fldChar w:fldCharType="end"/>
      </w:r>
    </w:p>
    <w:p w14:paraId="04B69648">
      <w:pPr>
        <w:pStyle w:val="33"/>
        <w:tabs>
          <w:tab w:val="right" w:pos="8505"/>
        </w:tabs>
        <w:snapToGrid w:val="0"/>
        <w:spacing w:line="360" w:lineRule="auto"/>
        <w:rPr>
          <w:rFonts w:ascii="宋体" w:hAnsi="宋体" w:eastAsia="宋体" w:cs="宋体"/>
          <w:color w:val="auto"/>
          <w:sz w:val="32"/>
          <w:szCs w:val="22"/>
          <w:highlight w:val="none"/>
        </w:rPr>
      </w:pPr>
      <w:r>
        <w:rPr>
          <w:color w:val="auto"/>
          <w:highlight w:val="none"/>
        </w:rPr>
        <w:fldChar w:fldCharType="begin"/>
      </w:r>
      <w:r>
        <w:rPr>
          <w:color w:val="auto"/>
          <w:highlight w:val="none"/>
        </w:rPr>
        <w:instrText xml:space="preserve"> HYPERLINK \l "_Toc8589" </w:instrText>
      </w:r>
      <w:r>
        <w:rPr>
          <w:color w:val="auto"/>
          <w:highlight w:val="none"/>
        </w:rPr>
        <w:fldChar w:fldCharType="separate"/>
      </w:r>
      <w:r>
        <w:rPr>
          <w:rFonts w:hint="eastAsia" w:ascii="宋体" w:hAnsi="宋体" w:eastAsia="宋体" w:cs="宋体"/>
          <w:color w:val="auto"/>
          <w:kern w:val="0"/>
          <w:sz w:val="32"/>
          <w:szCs w:val="44"/>
          <w:highlight w:val="none"/>
        </w:rPr>
        <w:t>第八章 响应文件组成及格式</w:t>
      </w:r>
      <w:r>
        <w:rPr>
          <w:rFonts w:hint="eastAsia" w:ascii="宋体" w:hAnsi="宋体" w:eastAsia="宋体" w:cs="宋体"/>
          <w:color w:val="auto"/>
          <w:kern w:val="0"/>
          <w:sz w:val="32"/>
          <w:szCs w:val="44"/>
          <w:highlight w:val="none"/>
        </w:rPr>
        <w:fldChar w:fldCharType="end"/>
      </w:r>
    </w:p>
    <w:p w14:paraId="37894BB0">
      <w:pPr>
        <w:adjustRightInd w:val="0"/>
        <w:snapToGrid w:val="0"/>
        <w:spacing w:line="360" w:lineRule="auto"/>
        <w:jc w:val="left"/>
        <w:rPr>
          <w:rFonts w:ascii="宋体" w:hAnsi="宋体" w:cs="宋体"/>
          <w:color w:val="auto"/>
          <w:kern w:val="0"/>
          <w:sz w:val="36"/>
          <w:szCs w:val="36"/>
          <w:highlight w:val="none"/>
        </w:rPr>
      </w:pPr>
      <w:r>
        <w:rPr>
          <w:rFonts w:hint="eastAsia" w:ascii="宋体" w:hAnsi="宋体" w:cs="宋体"/>
          <w:color w:val="auto"/>
          <w:kern w:val="0"/>
          <w:sz w:val="24"/>
          <w:szCs w:val="36"/>
          <w:highlight w:val="none"/>
        </w:rPr>
        <w:fldChar w:fldCharType="end"/>
      </w:r>
    </w:p>
    <w:p w14:paraId="0CE5F79F">
      <w:pPr>
        <w:widowControl/>
        <w:adjustRightInd w:val="0"/>
        <w:snapToGrid w:val="0"/>
        <w:spacing w:line="360" w:lineRule="auto"/>
        <w:jc w:val="left"/>
        <w:rPr>
          <w:rFonts w:ascii="宋体" w:hAnsi="宋体" w:cs="宋体"/>
          <w:b/>
          <w:color w:val="auto"/>
          <w:kern w:val="0"/>
          <w:sz w:val="24"/>
          <w:szCs w:val="24"/>
          <w:highlight w:val="none"/>
        </w:rPr>
      </w:pPr>
    </w:p>
    <w:p w14:paraId="257F4357">
      <w:pPr>
        <w:pStyle w:val="46"/>
        <w:adjustRightInd w:val="0"/>
        <w:snapToGrid w:val="0"/>
        <w:spacing w:after="0" w:line="360" w:lineRule="auto"/>
        <w:ind w:left="0" w:leftChars="0" w:firstLine="0" w:firstLineChars="0"/>
        <w:jc w:val="center"/>
        <w:outlineLvl w:val="0"/>
        <w:rPr>
          <w:rFonts w:ascii="宋体" w:hAnsi="宋体" w:cs="宋体"/>
          <w:b/>
          <w:color w:val="auto"/>
          <w:kern w:val="0"/>
          <w:sz w:val="36"/>
          <w:szCs w:val="36"/>
          <w:highlight w:val="none"/>
        </w:rPr>
      </w:pPr>
      <w:r>
        <w:rPr>
          <w:rFonts w:hint="eastAsia" w:ascii="宋体" w:hAnsi="宋体" w:cs="宋体"/>
          <w:color w:val="auto"/>
          <w:kern w:val="0"/>
          <w:sz w:val="36"/>
          <w:szCs w:val="36"/>
          <w:highlight w:val="none"/>
        </w:rPr>
        <w:br w:type="page"/>
      </w:r>
      <w:bookmarkStart w:id="0" w:name="_Toc6622"/>
      <w:r>
        <w:rPr>
          <w:rFonts w:hint="eastAsia" w:ascii="宋体" w:hAnsi="宋体" w:cs="宋体"/>
          <w:b/>
          <w:color w:val="auto"/>
          <w:kern w:val="0"/>
          <w:sz w:val="32"/>
          <w:szCs w:val="36"/>
          <w:highlight w:val="none"/>
        </w:rPr>
        <w:t>第一章 竞争性磋商公告</w:t>
      </w:r>
      <w:bookmarkEnd w:id="0"/>
    </w:p>
    <w:p w14:paraId="21572F97">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项目概况</w:t>
      </w:r>
    </w:p>
    <w:p w14:paraId="2B00623C">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海安大生鑫天地LED屏幕采购及安装项目</w:t>
      </w:r>
      <w:r>
        <w:rPr>
          <w:rFonts w:hint="eastAsia" w:ascii="宋体" w:hAnsi="宋体" w:cs="宋体"/>
          <w:color w:val="auto"/>
          <w:kern w:val="0"/>
          <w:sz w:val="24"/>
          <w:szCs w:val="24"/>
          <w:highlight w:val="none"/>
        </w:rPr>
        <w:t>的潜在供应商应在</w:t>
      </w:r>
      <w:r>
        <w:rPr>
          <w:rFonts w:hint="eastAsia" w:ascii="宋体" w:hAnsi="宋体" w:cs="宋体"/>
          <w:color w:val="auto"/>
          <w:kern w:val="0"/>
          <w:sz w:val="24"/>
          <w:szCs w:val="24"/>
          <w:highlight w:val="none"/>
          <w:u w:val="single"/>
        </w:rPr>
        <w:t>江苏大生集团有限公司官网</w:t>
      </w:r>
      <w:r>
        <w:rPr>
          <w:rFonts w:hint="eastAsia" w:ascii="宋体" w:hAnsi="宋体" w:cs="宋体"/>
          <w:color w:val="auto"/>
          <w:kern w:val="0"/>
          <w:sz w:val="24"/>
          <w:szCs w:val="24"/>
          <w:highlight w:val="none"/>
        </w:rPr>
        <w:t>获取采购文件，并于</w:t>
      </w:r>
      <w:r>
        <w:rPr>
          <w:rFonts w:hint="eastAsia" w:ascii="宋体" w:hAnsi="宋体" w:cs="宋体"/>
          <w:b/>
          <w:bCs/>
          <w:color w:val="auto"/>
          <w:kern w:val="0"/>
          <w:sz w:val="24"/>
          <w:szCs w:val="24"/>
          <w:highlight w:val="none"/>
          <w:u w:val="single"/>
        </w:rPr>
        <w:t>2025年10月24日</w:t>
      </w:r>
      <w:r>
        <w:rPr>
          <w:rFonts w:hint="eastAsia" w:ascii="宋体" w:hAnsi="宋体" w:cs="宋体"/>
          <w:b/>
          <w:bCs/>
          <w:color w:val="auto"/>
          <w:kern w:val="0"/>
          <w:sz w:val="24"/>
          <w:szCs w:val="24"/>
          <w:highlight w:val="none"/>
          <w:u w:val="single"/>
          <w:lang w:val="en-US" w:eastAsia="zh-CN"/>
        </w:rPr>
        <w:t>15</w:t>
      </w:r>
      <w:r>
        <w:rPr>
          <w:rFonts w:hint="eastAsia" w:ascii="宋体" w:hAnsi="宋体" w:cs="宋体"/>
          <w:b/>
          <w:bCs/>
          <w:color w:val="auto"/>
          <w:kern w:val="0"/>
          <w:sz w:val="24"/>
          <w:szCs w:val="24"/>
          <w:highlight w:val="none"/>
          <w:u w:val="single"/>
        </w:rPr>
        <w:t>时</w:t>
      </w:r>
      <w:r>
        <w:rPr>
          <w:rFonts w:hint="eastAsia" w:ascii="宋体" w:hAnsi="宋体" w:cs="宋体"/>
          <w:b/>
          <w:bCs/>
          <w:color w:val="auto"/>
          <w:kern w:val="0"/>
          <w:sz w:val="24"/>
          <w:szCs w:val="24"/>
          <w:highlight w:val="none"/>
          <w:u w:val="single"/>
          <w:lang w:val="en-US" w:eastAsia="zh-CN"/>
        </w:rPr>
        <w:t>0</w:t>
      </w:r>
      <w:r>
        <w:rPr>
          <w:rFonts w:hint="eastAsia" w:ascii="宋体" w:hAnsi="宋体" w:cs="宋体"/>
          <w:b/>
          <w:bCs/>
          <w:color w:val="auto"/>
          <w:kern w:val="0"/>
          <w:sz w:val="24"/>
          <w:szCs w:val="24"/>
          <w:highlight w:val="none"/>
          <w:u w:val="single"/>
        </w:rPr>
        <w:t>0分</w:t>
      </w:r>
      <w:r>
        <w:rPr>
          <w:rFonts w:hint="eastAsia" w:ascii="宋体" w:hAnsi="宋体" w:cs="宋体"/>
          <w:color w:val="auto"/>
          <w:kern w:val="0"/>
          <w:sz w:val="24"/>
          <w:szCs w:val="24"/>
          <w:highlight w:val="none"/>
        </w:rPr>
        <w:t>前提交响应文件。</w:t>
      </w:r>
    </w:p>
    <w:p w14:paraId="52D3D4B4">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一、项目基本情况</w:t>
      </w:r>
    </w:p>
    <w:p w14:paraId="5B495FC0">
      <w:pPr>
        <w:adjustRightInd w:val="0"/>
        <w:snapToGrid w:val="0"/>
        <w:spacing w:line="360" w:lineRule="auto"/>
        <w:ind w:firstLine="480" w:firstLineChars="200"/>
        <w:textAlignment w:val="baseline"/>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rPr>
        <w:t>1、项目编号</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HADS-HXTD</w:t>
      </w:r>
      <w:r>
        <w:rPr>
          <w:rFonts w:hint="eastAsia" w:ascii="宋体" w:hAnsi="宋体" w:cs="宋体"/>
          <w:bCs/>
          <w:color w:val="auto"/>
          <w:kern w:val="0"/>
          <w:sz w:val="24"/>
          <w:szCs w:val="24"/>
          <w:highlight w:val="none"/>
          <w:lang w:val="en-US" w:eastAsia="zh-CN"/>
        </w:rPr>
        <w:t>PM</w:t>
      </w:r>
      <w:r>
        <w:rPr>
          <w:rFonts w:hint="eastAsia" w:ascii="宋体" w:hAnsi="宋体" w:cs="宋体"/>
          <w:bCs/>
          <w:color w:val="auto"/>
          <w:kern w:val="0"/>
          <w:sz w:val="24"/>
          <w:szCs w:val="24"/>
          <w:highlight w:val="none"/>
        </w:rPr>
        <w:t>25</w:t>
      </w:r>
      <w:r>
        <w:rPr>
          <w:rFonts w:hint="eastAsia" w:ascii="宋体" w:hAnsi="宋体" w:cs="宋体"/>
          <w:bCs/>
          <w:color w:val="auto"/>
          <w:kern w:val="0"/>
          <w:sz w:val="24"/>
          <w:szCs w:val="24"/>
          <w:highlight w:val="none"/>
          <w:lang w:val="en-US" w:eastAsia="zh-CN"/>
        </w:rPr>
        <w:t>10001</w:t>
      </w:r>
    </w:p>
    <w:p w14:paraId="07218662">
      <w:pPr>
        <w:adjustRightInd w:val="0"/>
        <w:snapToGrid w:val="0"/>
        <w:spacing w:line="360" w:lineRule="auto"/>
        <w:ind w:firstLine="480" w:firstLineChars="200"/>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项目名称：</w:t>
      </w:r>
      <w:r>
        <w:rPr>
          <w:rFonts w:hint="eastAsia" w:ascii="宋体" w:hAnsi="宋体" w:cs="宋体"/>
          <w:bCs/>
          <w:color w:val="auto"/>
          <w:kern w:val="0"/>
          <w:sz w:val="24"/>
          <w:szCs w:val="24"/>
          <w:highlight w:val="none"/>
          <w:lang w:eastAsia="zh-CN"/>
        </w:rPr>
        <w:t>海安大生鑫天地LED屏幕采购及安装项目</w:t>
      </w:r>
    </w:p>
    <w:p w14:paraId="1B5EF6F7">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 xml:space="preserve">、采购方式：竞争性磋商 </w:t>
      </w:r>
    </w:p>
    <w:p w14:paraId="01DE210D">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rPr>
        <w:t>、预算金额：</w:t>
      </w:r>
      <w:r>
        <w:rPr>
          <w:rFonts w:hint="eastAsia" w:ascii="宋体" w:hAnsi="宋体" w:cs="宋体"/>
          <w:bCs/>
          <w:color w:val="auto"/>
          <w:kern w:val="0"/>
          <w:sz w:val="24"/>
          <w:szCs w:val="24"/>
          <w:highlight w:val="none"/>
          <w:lang w:val="en-US" w:eastAsia="zh-CN"/>
        </w:rPr>
        <w:t>36</w:t>
      </w:r>
      <w:r>
        <w:rPr>
          <w:rFonts w:hint="eastAsia" w:ascii="宋体" w:hAnsi="宋体" w:cs="宋体"/>
          <w:bCs/>
          <w:color w:val="auto"/>
          <w:kern w:val="0"/>
          <w:sz w:val="24"/>
          <w:szCs w:val="24"/>
          <w:highlight w:val="none"/>
        </w:rPr>
        <w:t>万元</w:t>
      </w:r>
    </w:p>
    <w:p w14:paraId="0D30FA2A">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5</w:t>
      </w:r>
      <w:r>
        <w:rPr>
          <w:rFonts w:hint="eastAsia" w:ascii="宋体" w:hAnsi="宋体" w:cs="宋体"/>
          <w:b/>
          <w:color w:val="auto"/>
          <w:kern w:val="0"/>
          <w:sz w:val="24"/>
          <w:szCs w:val="24"/>
          <w:highlight w:val="none"/>
        </w:rPr>
        <w:t>、最高限价：</w:t>
      </w:r>
      <w:r>
        <w:rPr>
          <w:rFonts w:hint="eastAsia" w:ascii="宋体" w:hAnsi="宋体" w:cs="宋体"/>
          <w:b/>
          <w:color w:val="auto"/>
          <w:kern w:val="0"/>
          <w:sz w:val="24"/>
          <w:szCs w:val="24"/>
          <w:highlight w:val="none"/>
          <w:lang w:val="en-US" w:eastAsia="zh-CN"/>
        </w:rPr>
        <w:t>36</w:t>
      </w:r>
      <w:r>
        <w:rPr>
          <w:rFonts w:hint="eastAsia" w:ascii="宋体" w:hAnsi="宋体" w:cs="宋体"/>
          <w:b/>
          <w:color w:val="auto"/>
          <w:kern w:val="0"/>
          <w:sz w:val="24"/>
          <w:szCs w:val="24"/>
          <w:highlight w:val="none"/>
          <w:lang w:eastAsia="zh-CN"/>
        </w:rPr>
        <w:t>万元</w:t>
      </w:r>
      <w:r>
        <w:rPr>
          <w:rFonts w:hint="eastAsia" w:ascii="宋体" w:hAnsi="宋体" w:cs="宋体"/>
          <w:b/>
          <w:color w:val="auto"/>
          <w:kern w:val="0"/>
          <w:sz w:val="24"/>
          <w:szCs w:val="24"/>
          <w:highlight w:val="none"/>
        </w:rPr>
        <w:t>，响应报价超过最高限价为无效响应报价。</w:t>
      </w:r>
    </w:p>
    <w:p w14:paraId="53B871FE">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6</w:t>
      </w:r>
      <w:r>
        <w:rPr>
          <w:rFonts w:hint="eastAsia" w:ascii="宋体" w:hAnsi="宋体" w:cs="宋体"/>
          <w:bCs/>
          <w:color w:val="auto"/>
          <w:kern w:val="0"/>
          <w:sz w:val="24"/>
          <w:szCs w:val="24"/>
          <w:highlight w:val="none"/>
        </w:rPr>
        <w:t>、采购需求：海安大生鑫天地消防设备采购及安装项目，具体参数详见工程量清单。</w:t>
      </w:r>
    </w:p>
    <w:p w14:paraId="79F51423">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7</w:t>
      </w:r>
      <w:r>
        <w:rPr>
          <w:rFonts w:hint="eastAsia" w:ascii="宋体" w:hAnsi="宋体" w:cs="宋体"/>
          <w:bCs/>
          <w:color w:val="auto"/>
          <w:kern w:val="0"/>
          <w:sz w:val="24"/>
          <w:szCs w:val="24"/>
          <w:highlight w:val="none"/>
        </w:rPr>
        <w:t>、合同履行期限：合同签订后</w:t>
      </w:r>
      <w:r>
        <w:rPr>
          <w:rFonts w:hint="eastAsia" w:ascii="宋体" w:hAnsi="宋体" w:cs="宋体"/>
          <w:bCs/>
          <w:color w:val="auto"/>
          <w:kern w:val="0"/>
          <w:sz w:val="24"/>
          <w:szCs w:val="24"/>
          <w:highlight w:val="none"/>
          <w:lang w:val="en-US" w:eastAsia="zh-CN"/>
        </w:rPr>
        <w:t>7</w:t>
      </w:r>
      <w:r>
        <w:rPr>
          <w:rFonts w:hint="eastAsia" w:ascii="宋体" w:hAnsi="宋体" w:cs="宋体"/>
          <w:bCs/>
          <w:color w:val="auto"/>
          <w:kern w:val="0"/>
          <w:sz w:val="24"/>
          <w:szCs w:val="24"/>
          <w:highlight w:val="none"/>
        </w:rPr>
        <w:t>日内交货并安装调试完成，并通过验收合格正常使用。</w:t>
      </w:r>
    </w:p>
    <w:p w14:paraId="07A27F7B">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8</w:t>
      </w:r>
      <w:r>
        <w:rPr>
          <w:rFonts w:hint="eastAsia" w:ascii="宋体" w:hAnsi="宋体" w:cs="宋体"/>
          <w:bCs/>
          <w:color w:val="auto"/>
          <w:kern w:val="0"/>
          <w:sz w:val="24"/>
          <w:szCs w:val="24"/>
          <w:highlight w:val="none"/>
        </w:rPr>
        <w:t>、本项目（是/否）接受联合体：否。</w:t>
      </w:r>
    </w:p>
    <w:p w14:paraId="66BC5D93">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二、申请人的资格要求：</w:t>
      </w:r>
    </w:p>
    <w:p w14:paraId="0CE719C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1、满足以下规定，并提供声明函：</w:t>
      </w:r>
    </w:p>
    <w:p w14:paraId="5000403A">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（1）具有独立承担民事责任的能力；</w:t>
      </w:r>
    </w:p>
    <w:p w14:paraId="6FD3A3E4">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（2）具有良好的商业信誉和健全的财务会计制度；</w:t>
      </w:r>
    </w:p>
    <w:p w14:paraId="0E366A29">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（3）具有履行合同所必需的设备和专业技术能力；</w:t>
      </w:r>
    </w:p>
    <w:p w14:paraId="428AA87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（4）有依法缴纳税收和社会保障资金的良好记录；</w:t>
      </w:r>
    </w:p>
    <w:p w14:paraId="61D8BD08">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（5）参加采购活动前三年内，在经营活动中没有重大违法记录；</w:t>
      </w:r>
    </w:p>
    <w:p w14:paraId="51A9C105">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（6）法律、行政法规规定的其他条件。</w:t>
      </w:r>
    </w:p>
    <w:p w14:paraId="10271F5C">
      <w:pPr>
        <w:pageBreakBefore w:val="0"/>
        <w:bidi w:val="0"/>
        <w:adjustRightInd w:val="0"/>
        <w:snapToGrid w:val="0"/>
        <w:spacing w:line="360" w:lineRule="auto"/>
        <w:ind w:firstLine="480" w:firstLineChars="200"/>
        <w:rPr>
          <w:rFonts w:hint="eastAsia" w:ascii="宋体" w:hAnsi="宋体" w:eastAsia="宋体" w:cs="宋体"/>
          <w:color w:val="auto"/>
          <w:spacing w:val="0"/>
          <w:w w:val="100"/>
          <w:kern w:val="0"/>
          <w:sz w:val="24"/>
          <w:highlight w:val="none"/>
        </w:rPr>
      </w:pPr>
      <w:r>
        <w:rPr>
          <w:rFonts w:hint="eastAsia" w:ascii="宋体" w:hAnsi="宋体" w:eastAsia="宋体" w:cs="宋体"/>
          <w:color w:val="auto"/>
          <w:spacing w:val="0"/>
          <w:w w:val="100"/>
          <w:kern w:val="0"/>
          <w:sz w:val="24"/>
          <w:highlight w:val="none"/>
        </w:rPr>
        <w:t>2</w:t>
      </w:r>
      <w:r>
        <w:rPr>
          <w:rFonts w:hint="eastAsia" w:ascii="宋体" w:hAnsi="宋体" w:eastAsia="宋体" w:cs="宋体"/>
          <w:color w:val="auto"/>
          <w:spacing w:val="0"/>
          <w:w w:val="100"/>
          <w:kern w:val="0"/>
          <w:sz w:val="24"/>
          <w:highlight w:val="none"/>
          <w:lang w:eastAsia="zh-CN"/>
        </w:rPr>
        <w:t>、</w:t>
      </w:r>
      <w:r>
        <w:rPr>
          <w:rFonts w:hint="eastAsia" w:ascii="宋体" w:hAnsi="宋体" w:eastAsia="宋体" w:cs="宋体"/>
          <w:bCs/>
          <w:color w:val="auto"/>
          <w:spacing w:val="0"/>
          <w:w w:val="100"/>
          <w:kern w:val="0"/>
          <w:sz w:val="24"/>
          <w:szCs w:val="24"/>
          <w:highlight w:val="none"/>
          <w:lang w:eastAsia="zh-CN"/>
        </w:rPr>
        <w:t>投标人</w:t>
      </w:r>
      <w:r>
        <w:rPr>
          <w:rFonts w:hint="eastAsia" w:ascii="宋体" w:hAnsi="宋体" w:eastAsia="宋体" w:cs="宋体"/>
          <w:bCs/>
          <w:color w:val="auto"/>
          <w:spacing w:val="0"/>
          <w:w w:val="100"/>
          <w:kern w:val="0"/>
          <w:sz w:val="24"/>
          <w:szCs w:val="24"/>
          <w:highlight w:val="none"/>
        </w:rPr>
        <w:t>具有独立承担民事责任的能力，提供法人或者其他组织的营业执照等证明文件</w:t>
      </w:r>
      <w:r>
        <w:rPr>
          <w:rFonts w:hint="eastAsia" w:ascii="宋体" w:hAnsi="宋体" w:cs="宋体"/>
          <w:b w:val="0"/>
          <w:bCs w:val="0"/>
          <w:color w:val="auto"/>
          <w:kern w:val="0"/>
          <w:sz w:val="24"/>
          <w:szCs w:val="24"/>
          <w:highlight w:val="none"/>
          <w:u w:val="none"/>
        </w:rPr>
        <w:t>，并在人员、设备、资金等方面具有相应的施工能力</w:t>
      </w:r>
      <w:r>
        <w:rPr>
          <w:rFonts w:hint="eastAsia" w:ascii="宋体" w:hAnsi="宋体" w:eastAsia="宋体" w:cs="宋体"/>
          <w:color w:val="auto"/>
          <w:spacing w:val="0"/>
          <w:w w:val="100"/>
          <w:kern w:val="0"/>
          <w:sz w:val="24"/>
          <w:highlight w:val="none"/>
        </w:rPr>
        <w:t>；</w:t>
      </w:r>
    </w:p>
    <w:p w14:paraId="7EC50B08">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eastAsia="宋体" w:cs="宋体"/>
          <w:color w:val="auto"/>
          <w:spacing w:val="0"/>
          <w:w w:val="100"/>
          <w:kern w:val="0"/>
          <w:sz w:val="24"/>
          <w:highlight w:val="none"/>
          <w:lang w:val="en-US" w:eastAsia="zh-CN"/>
        </w:rPr>
        <w:t>3、</w:t>
      </w:r>
      <w:r>
        <w:rPr>
          <w:rFonts w:hint="eastAsia" w:ascii="宋体" w:hAnsi="宋体" w:cs="宋体"/>
          <w:color w:val="auto"/>
          <w:kern w:val="0"/>
          <w:sz w:val="24"/>
          <w:szCs w:val="24"/>
          <w:highlight w:val="none"/>
        </w:rPr>
        <w:t>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w:t>
      </w:r>
    </w:p>
    <w:p w14:paraId="4981CB27">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、未被“信用中国”等媒体列入失信被执行人、企业经营异常名录、政府采购严重违法失信名单、没有因违反招投标规定被行政处罚且在公示期内；</w:t>
      </w:r>
    </w:p>
    <w:p w14:paraId="742EDCB0">
      <w:pPr>
        <w:adjustRightInd w:val="0"/>
        <w:snapToGrid w:val="0"/>
        <w:spacing w:line="360" w:lineRule="auto"/>
        <w:ind w:firstLine="482" w:firstLineChars="200"/>
        <w:textAlignment w:val="baseline"/>
        <w:rPr>
          <w:rFonts w:ascii="宋体" w:hAnsi="宋体" w:cs="宋体"/>
          <w:b/>
          <w:color w:val="auto"/>
          <w:kern w:val="0"/>
          <w:sz w:val="24"/>
          <w:szCs w:val="24"/>
          <w:highlight w:val="none"/>
          <w:u w:val="single"/>
          <w:lang w:val="zh-CN"/>
        </w:rPr>
      </w:pPr>
      <w:r>
        <w:rPr>
          <w:rFonts w:hint="eastAsia" w:ascii="宋体" w:hAnsi="宋体" w:cs="宋体"/>
          <w:b/>
          <w:color w:val="auto"/>
          <w:kern w:val="0"/>
          <w:sz w:val="24"/>
          <w:szCs w:val="24"/>
          <w:highlight w:val="none"/>
          <w:u w:val="single"/>
          <w:lang w:val="zh-CN"/>
        </w:rPr>
        <w:t>具体资格要求详见第八章中的“资格审查文件”。</w:t>
      </w:r>
    </w:p>
    <w:p w14:paraId="011C09F0">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三、获取采购文件及磋商报名</w:t>
      </w:r>
    </w:p>
    <w:p w14:paraId="347F90D9">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1、获取时间：自本磋商公告发布之日起至</w:t>
      </w:r>
      <w:r>
        <w:rPr>
          <w:rFonts w:hint="eastAsia" w:ascii="宋体" w:hAnsi="宋体" w:cs="宋体"/>
          <w:b/>
          <w:bCs/>
          <w:color w:val="auto"/>
          <w:kern w:val="0"/>
          <w:sz w:val="24"/>
          <w:szCs w:val="24"/>
          <w:highlight w:val="none"/>
          <w:u w:val="single"/>
        </w:rPr>
        <w:t>2025年10月24日</w:t>
      </w:r>
      <w:r>
        <w:rPr>
          <w:rFonts w:hint="eastAsia" w:ascii="宋体" w:hAnsi="宋体" w:cs="宋体"/>
          <w:b/>
          <w:bCs/>
          <w:color w:val="auto"/>
          <w:kern w:val="0"/>
          <w:sz w:val="24"/>
          <w:szCs w:val="24"/>
          <w:highlight w:val="none"/>
          <w:u w:val="single"/>
          <w:lang w:val="en-US" w:eastAsia="zh-CN"/>
        </w:rPr>
        <w:t>15</w:t>
      </w:r>
      <w:r>
        <w:rPr>
          <w:rFonts w:hint="eastAsia" w:ascii="宋体" w:hAnsi="宋体" w:cs="宋体"/>
          <w:b/>
          <w:bCs/>
          <w:color w:val="auto"/>
          <w:kern w:val="0"/>
          <w:sz w:val="24"/>
          <w:szCs w:val="24"/>
          <w:highlight w:val="none"/>
          <w:u w:val="single"/>
        </w:rPr>
        <w:t>时</w:t>
      </w:r>
      <w:r>
        <w:rPr>
          <w:rFonts w:hint="eastAsia" w:ascii="宋体" w:hAnsi="宋体" w:cs="宋体"/>
          <w:b/>
          <w:bCs/>
          <w:color w:val="auto"/>
          <w:kern w:val="0"/>
          <w:sz w:val="24"/>
          <w:szCs w:val="24"/>
          <w:highlight w:val="none"/>
          <w:u w:val="single"/>
          <w:lang w:val="en-US" w:eastAsia="zh-CN"/>
        </w:rPr>
        <w:t>0</w:t>
      </w:r>
      <w:r>
        <w:rPr>
          <w:rFonts w:hint="eastAsia" w:ascii="宋体" w:hAnsi="宋体" w:cs="宋体"/>
          <w:b/>
          <w:bCs/>
          <w:color w:val="auto"/>
          <w:kern w:val="0"/>
          <w:sz w:val="24"/>
          <w:szCs w:val="24"/>
          <w:highlight w:val="none"/>
          <w:u w:val="single"/>
        </w:rPr>
        <w:t>0分</w:t>
      </w:r>
      <w:r>
        <w:rPr>
          <w:rFonts w:hint="eastAsia" w:ascii="宋体" w:hAnsi="宋体" w:cs="宋体"/>
          <w:bCs/>
          <w:color w:val="auto"/>
          <w:kern w:val="0"/>
          <w:sz w:val="24"/>
          <w:szCs w:val="24"/>
          <w:highlight w:val="none"/>
        </w:rPr>
        <w:t>。</w:t>
      </w:r>
    </w:p>
    <w:p w14:paraId="2412D186">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2、地点：凡有意参加磋商活动者，请于公告发布至磋商活动开始前于“江苏大生集团有限公司官网”直接下载采购文件。</w:t>
      </w:r>
    </w:p>
    <w:p w14:paraId="7942AA56">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3、售价：采购文件每套售价300元，报名时递交给采购代理机构，售后不退。</w:t>
      </w:r>
    </w:p>
    <w:p w14:paraId="20F78A01">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4、报名方式：请有意参与本项目投标的供应商于</w:t>
      </w:r>
      <w:r>
        <w:rPr>
          <w:rFonts w:hint="eastAsia" w:ascii="宋体" w:hAnsi="宋体" w:cs="宋体"/>
          <w:b/>
          <w:bCs/>
          <w:color w:val="auto"/>
          <w:kern w:val="0"/>
          <w:sz w:val="24"/>
          <w:szCs w:val="24"/>
          <w:highlight w:val="none"/>
          <w:u w:val="single"/>
        </w:rPr>
        <w:t>2025年</w:t>
      </w:r>
      <w:r>
        <w:rPr>
          <w:rFonts w:hint="eastAsia" w:ascii="宋体" w:hAnsi="宋体" w:cs="宋体"/>
          <w:b/>
          <w:bCs/>
          <w:color w:val="auto"/>
          <w:kern w:val="0"/>
          <w:sz w:val="24"/>
          <w:szCs w:val="24"/>
          <w:highlight w:val="none"/>
          <w:u w:val="single"/>
          <w:lang w:val="en-US" w:eastAsia="zh-CN"/>
        </w:rPr>
        <w:t>10</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24</w:t>
      </w:r>
      <w:r>
        <w:rPr>
          <w:rFonts w:hint="eastAsia" w:ascii="宋体" w:hAnsi="宋体" w:cs="宋体"/>
          <w:b/>
          <w:bCs/>
          <w:color w:val="auto"/>
          <w:kern w:val="0"/>
          <w:sz w:val="24"/>
          <w:szCs w:val="24"/>
          <w:highlight w:val="none"/>
          <w:u w:val="single"/>
        </w:rPr>
        <w:t>日</w:t>
      </w:r>
      <w:r>
        <w:rPr>
          <w:rFonts w:hint="eastAsia" w:ascii="宋体" w:hAnsi="宋体" w:cs="宋体"/>
          <w:b/>
          <w:bCs/>
          <w:color w:val="auto"/>
          <w:kern w:val="0"/>
          <w:sz w:val="24"/>
          <w:szCs w:val="24"/>
          <w:highlight w:val="none"/>
          <w:u w:val="single"/>
          <w:lang w:val="en-US" w:eastAsia="zh-CN"/>
        </w:rPr>
        <w:t>12</w:t>
      </w:r>
      <w:r>
        <w:rPr>
          <w:rFonts w:hint="eastAsia" w:ascii="宋体" w:hAnsi="宋体" w:cs="宋体"/>
          <w:b/>
          <w:bCs/>
          <w:color w:val="auto"/>
          <w:kern w:val="0"/>
          <w:sz w:val="24"/>
          <w:szCs w:val="24"/>
          <w:highlight w:val="none"/>
          <w:u w:val="single"/>
        </w:rPr>
        <w:t>时</w:t>
      </w:r>
      <w:r>
        <w:rPr>
          <w:rFonts w:hint="eastAsia" w:ascii="宋体" w:hAnsi="宋体" w:cs="宋体"/>
          <w:b/>
          <w:bCs/>
          <w:color w:val="auto"/>
          <w:kern w:val="0"/>
          <w:sz w:val="24"/>
          <w:szCs w:val="24"/>
          <w:highlight w:val="none"/>
          <w:u w:val="single"/>
          <w:lang w:val="en-US" w:eastAsia="zh-CN"/>
        </w:rPr>
        <w:t>00</w:t>
      </w:r>
      <w:r>
        <w:rPr>
          <w:rFonts w:hint="eastAsia" w:ascii="宋体" w:hAnsi="宋体" w:cs="宋体"/>
          <w:b/>
          <w:bCs/>
          <w:color w:val="auto"/>
          <w:kern w:val="0"/>
          <w:sz w:val="24"/>
          <w:szCs w:val="24"/>
          <w:highlight w:val="none"/>
          <w:u w:val="single"/>
        </w:rPr>
        <w:t>分</w:t>
      </w:r>
      <w:r>
        <w:rPr>
          <w:rFonts w:hint="eastAsia" w:ascii="宋体" w:hAnsi="宋体" w:cs="宋体"/>
          <w:bCs/>
          <w:color w:val="auto"/>
          <w:kern w:val="0"/>
          <w:sz w:val="24"/>
          <w:szCs w:val="24"/>
          <w:highlight w:val="none"/>
        </w:rPr>
        <w:t>前联系代理机构报名</w:t>
      </w:r>
      <w:r>
        <w:rPr>
          <w:rFonts w:hint="eastAsia" w:ascii="宋体" w:hAnsi="宋体" w:cs="宋体"/>
          <w:b/>
          <w:color w:val="auto"/>
          <w:kern w:val="0"/>
          <w:sz w:val="24"/>
          <w:szCs w:val="24"/>
          <w:highlight w:val="none"/>
        </w:rPr>
        <w:t>（联系人：董安国，联系电话：18912299056，邮箱：812298892@qq.com）</w:t>
      </w:r>
      <w:r>
        <w:rPr>
          <w:rFonts w:hint="eastAsia" w:ascii="宋体" w:hAnsi="宋体" w:cs="宋体"/>
          <w:bCs/>
          <w:color w:val="auto"/>
          <w:kern w:val="0"/>
          <w:sz w:val="24"/>
          <w:szCs w:val="24"/>
          <w:highlight w:val="none"/>
        </w:rPr>
        <w:t>，未报名单位不得参加本项目的投标。</w:t>
      </w:r>
    </w:p>
    <w:p w14:paraId="3B0D7D46">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四、响应文件提交</w:t>
      </w:r>
    </w:p>
    <w:p w14:paraId="57EFD551">
      <w:pPr>
        <w:adjustRightInd w:val="0"/>
        <w:snapToGrid w:val="0"/>
        <w:spacing w:line="360" w:lineRule="auto"/>
        <w:ind w:firstLine="482" w:firstLineChars="200"/>
        <w:textAlignment w:val="baseline"/>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1、响应文件提交截止时间：</w:t>
      </w:r>
      <w:r>
        <w:rPr>
          <w:rFonts w:hint="eastAsia" w:ascii="宋体" w:hAnsi="宋体" w:cs="宋体"/>
          <w:b/>
          <w:bCs/>
          <w:color w:val="auto"/>
          <w:kern w:val="0"/>
          <w:sz w:val="24"/>
          <w:szCs w:val="24"/>
          <w:highlight w:val="none"/>
          <w:u w:val="single"/>
        </w:rPr>
        <w:t>2025年</w:t>
      </w:r>
      <w:r>
        <w:rPr>
          <w:rFonts w:hint="eastAsia" w:ascii="宋体" w:hAnsi="宋体" w:cs="宋体"/>
          <w:b/>
          <w:bCs/>
          <w:color w:val="auto"/>
          <w:kern w:val="0"/>
          <w:sz w:val="24"/>
          <w:szCs w:val="24"/>
          <w:highlight w:val="none"/>
          <w:u w:val="single"/>
          <w:lang w:val="en-US" w:eastAsia="zh-CN"/>
        </w:rPr>
        <w:t>10</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24</w:t>
      </w:r>
      <w:r>
        <w:rPr>
          <w:rFonts w:hint="eastAsia" w:ascii="宋体" w:hAnsi="宋体" w:cs="宋体"/>
          <w:b/>
          <w:bCs/>
          <w:color w:val="auto"/>
          <w:kern w:val="0"/>
          <w:sz w:val="24"/>
          <w:szCs w:val="24"/>
          <w:highlight w:val="none"/>
          <w:u w:val="single"/>
        </w:rPr>
        <w:t>日</w:t>
      </w:r>
      <w:r>
        <w:rPr>
          <w:rFonts w:hint="eastAsia" w:ascii="宋体" w:hAnsi="宋体" w:cs="宋体"/>
          <w:b/>
          <w:bCs/>
          <w:color w:val="auto"/>
          <w:kern w:val="0"/>
          <w:sz w:val="24"/>
          <w:szCs w:val="24"/>
          <w:highlight w:val="none"/>
          <w:u w:val="single"/>
          <w:lang w:val="en-US" w:eastAsia="zh-CN"/>
        </w:rPr>
        <w:t>15</w:t>
      </w:r>
      <w:r>
        <w:rPr>
          <w:rFonts w:hint="eastAsia" w:ascii="宋体" w:hAnsi="宋体" w:cs="宋体"/>
          <w:b/>
          <w:bCs/>
          <w:color w:val="auto"/>
          <w:kern w:val="0"/>
          <w:sz w:val="24"/>
          <w:szCs w:val="24"/>
          <w:highlight w:val="none"/>
          <w:u w:val="single"/>
        </w:rPr>
        <w:t>时</w:t>
      </w:r>
      <w:r>
        <w:rPr>
          <w:rFonts w:hint="eastAsia" w:ascii="宋体" w:hAnsi="宋体" w:cs="宋体"/>
          <w:b/>
          <w:bCs/>
          <w:color w:val="auto"/>
          <w:kern w:val="0"/>
          <w:sz w:val="24"/>
          <w:szCs w:val="24"/>
          <w:highlight w:val="none"/>
          <w:u w:val="single"/>
          <w:lang w:val="en-US" w:eastAsia="zh-CN"/>
        </w:rPr>
        <w:t>0</w:t>
      </w:r>
      <w:r>
        <w:rPr>
          <w:rFonts w:hint="eastAsia" w:ascii="宋体" w:hAnsi="宋体" w:cs="宋体"/>
          <w:b/>
          <w:bCs/>
          <w:color w:val="auto"/>
          <w:kern w:val="0"/>
          <w:sz w:val="24"/>
          <w:szCs w:val="24"/>
          <w:highlight w:val="none"/>
          <w:u w:val="single"/>
        </w:rPr>
        <w:t>0分</w:t>
      </w:r>
      <w:r>
        <w:rPr>
          <w:rFonts w:hint="eastAsia" w:ascii="宋体" w:hAnsi="宋体" w:cs="宋体"/>
          <w:bCs/>
          <w:color w:val="auto"/>
          <w:kern w:val="0"/>
          <w:sz w:val="24"/>
          <w:szCs w:val="24"/>
          <w:highlight w:val="none"/>
        </w:rPr>
        <w:t>（北京时间）。逾时，采购人将拒绝接受响应文件纸质文档。</w:t>
      </w:r>
    </w:p>
    <w:p w14:paraId="63B57BFD">
      <w:pPr>
        <w:adjustRightInd w:val="0"/>
        <w:snapToGrid w:val="0"/>
        <w:spacing w:line="360" w:lineRule="auto"/>
        <w:ind w:firstLine="482" w:firstLineChars="200"/>
        <w:textAlignment w:val="baseline"/>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2、响应文件递交地址：</w:t>
      </w:r>
      <w:r>
        <w:rPr>
          <w:rFonts w:hint="eastAsia" w:ascii="宋体" w:hAnsi="宋体" w:cs="宋体"/>
          <w:color w:val="auto"/>
          <w:kern w:val="0"/>
          <w:sz w:val="24"/>
          <w:highlight w:val="none"/>
          <w:u w:val="single"/>
        </w:rPr>
        <w:t>江苏大生集团有限公司</w:t>
      </w:r>
      <w:r>
        <w:rPr>
          <w:rFonts w:hint="eastAsia" w:ascii="宋体" w:hAnsi="宋体" w:cs="宋体"/>
          <w:color w:val="auto"/>
          <w:kern w:val="0"/>
          <w:sz w:val="24"/>
          <w:highlight w:val="none"/>
          <w:u w:val="single"/>
          <w:lang w:val="en-US" w:eastAsia="zh-CN"/>
        </w:rPr>
        <w:t>三</w:t>
      </w:r>
      <w:r>
        <w:rPr>
          <w:rFonts w:hint="eastAsia" w:ascii="宋体" w:hAnsi="宋体" w:cs="宋体"/>
          <w:color w:val="auto"/>
          <w:kern w:val="0"/>
          <w:sz w:val="24"/>
          <w:highlight w:val="none"/>
          <w:u w:val="single"/>
        </w:rPr>
        <w:t>楼</w:t>
      </w:r>
      <w:r>
        <w:rPr>
          <w:rFonts w:hint="eastAsia" w:ascii="宋体" w:hAnsi="宋体" w:cs="宋体"/>
          <w:color w:val="auto"/>
          <w:kern w:val="0"/>
          <w:sz w:val="24"/>
          <w:highlight w:val="none"/>
          <w:u w:val="single"/>
          <w:lang w:val="en-US" w:eastAsia="zh-CN"/>
        </w:rPr>
        <w:t>310</w:t>
      </w:r>
      <w:r>
        <w:rPr>
          <w:rFonts w:hint="eastAsia" w:ascii="宋体" w:hAnsi="宋体" w:cs="宋体"/>
          <w:color w:val="auto"/>
          <w:kern w:val="0"/>
          <w:sz w:val="24"/>
          <w:highlight w:val="none"/>
          <w:u w:val="single"/>
        </w:rPr>
        <w:t>会议室（大生路1号）</w:t>
      </w:r>
      <w:r>
        <w:rPr>
          <w:rFonts w:hint="eastAsia" w:ascii="宋体" w:hAnsi="宋体" w:cs="宋体"/>
          <w:color w:val="auto"/>
          <w:kern w:val="0"/>
          <w:sz w:val="24"/>
          <w:highlight w:val="none"/>
        </w:rPr>
        <w:t>，</w:t>
      </w:r>
      <w:r>
        <w:rPr>
          <w:rFonts w:hint="eastAsia" w:ascii="宋体" w:hAnsi="宋体" w:cs="宋体"/>
          <w:bCs/>
          <w:color w:val="auto"/>
          <w:kern w:val="0"/>
          <w:sz w:val="24"/>
          <w:szCs w:val="24"/>
          <w:highlight w:val="none"/>
        </w:rPr>
        <w:t>如有变动另行通知。</w:t>
      </w:r>
    </w:p>
    <w:p w14:paraId="254F3E11">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五、开启</w:t>
      </w:r>
    </w:p>
    <w:p w14:paraId="6D6B1336">
      <w:pPr>
        <w:adjustRightInd w:val="0"/>
        <w:snapToGrid w:val="0"/>
        <w:spacing w:line="360" w:lineRule="auto"/>
        <w:ind w:firstLine="482" w:firstLineChars="200"/>
        <w:textAlignment w:val="baseline"/>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1、时间：</w:t>
      </w:r>
      <w:r>
        <w:rPr>
          <w:rFonts w:hint="eastAsia" w:ascii="宋体" w:hAnsi="宋体" w:cs="宋体"/>
          <w:b/>
          <w:bCs/>
          <w:color w:val="auto"/>
          <w:kern w:val="0"/>
          <w:sz w:val="24"/>
          <w:szCs w:val="24"/>
          <w:highlight w:val="none"/>
          <w:u w:val="single"/>
        </w:rPr>
        <w:t>2025年</w:t>
      </w:r>
      <w:r>
        <w:rPr>
          <w:rFonts w:hint="eastAsia" w:ascii="宋体" w:hAnsi="宋体" w:cs="宋体"/>
          <w:b/>
          <w:bCs/>
          <w:color w:val="auto"/>
          <w:kern w:val="0"/>
          <w:sz w:val="24"/>
          <w:szCs w:val="24"/>
          <w:highlight w:val="none"/>
          <w:u w:val="single"/>
          <w:lang w:val="en-US" w:eastAsia="zh-CN"/>
        </w:rPr>
        <w:t>10</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24</w:t>
      </w:r>
      <w:r>
        <w:rPr>
          <w:rFonts w:hint="eastAsia" w:ascii="宋体" w:hAnsi="宋体" w:cs="宋体"/>
          <w:b/>
          <w:bCs/>
          <w:color w:val="auto"/>
          <w:kern w:val="0"/>
          <w:sz w:val="24"/>
          <w:szCs w:val="24"/>
          <w:highlight w:val="none"/>
          <w:u w:val="single"/>
        </w:rPr>
        <w:t>日</w:t>
      </w:r>
      <w:r>
        <w:rPr>
          <w:rFonts w:hint="eastAsia" w:ascii="宋体" w:hAnsi="宋体" w:cs="宋体"/>
          <w:b/>
          <w:bCs/>
          <w:color w:val="auto"/>
          <w:kern w:val="0"/>
          <w:sz w:val="24"/>
          <w:szCs w:val="24"/>
          <w:highlight w:val="none"/>
          <w:u w:val="single"/>
          <w:lang w:val="en-US" w:eastAsia="zh-CN"/>
        </w:rPr>
        <w:t>15</w:t>
      </w:r>
      <w:r>
        <w:rPr>
          <w:rFonts w:hint="eastAsia" w:ascii="宋体" w:hAnsi="宋体" w:cs="宋体"/>
          <w:b/>
          <w:bCs/>
          <w:color w:val="auto"/>
          <w:kern w:val="0"/>
          <w:sz w:val="24"/>
          <w:szCs w:val="24"/>
          <w:highlight w:val="none"/>
          <w:u w:val="single"/>
        </w:rPr>
        <w:t>时</w:t>
      </w:r>
      <w:r>
        <w:rPr>
          <w:rFonts w:hint="eastAsia" w:ascii="宋体" w:hAnsi="宋体" w:cs="宋体"/>
          <w:b/>
          <w:bCs/>
          <w:color w:val="auto"/>
          <w:kern w:val="0"/>
          <w:sz w:val="24"/>
          <w:szCs w:val="24"/>
          <w:highlight w:val="none"/>
          <w:u w:val="single"/>
          <w:lang w:val="en-US" w:eastAsia="zh-CN"/>
        </w:rPr>
        <w:t>0</w:t>
      </w:r>
      <w:r>
        <w:rPr>
          <w:rFonts w:hint="eastAsia" w:ascii="宋体" w:hAnsi="宋体" w:cs="宋体"/>
          <w:b/>
          <w:bCs/>
          <w:color w:val="auto"/>
          <w:kern w:val="0"/>
          <w:sz w:val="24"/>
          <w:szCs w:val="24"/>
          <w:highlight w:val="none"/>
          <w:u w:val="single"/>
        </w:rPr>
        <w:t>0分</w:t>
      </w:r>
      <w:r>
        <w:rPr>
          <w:rFonts w:hint="eastAsia" w:ascii="宋体" w:hAnsi="宋体" w:cs="宋体"/>
          <w:bCs/>
          <w:color w:val="auto"/>
          <w:kern w:val="0"/>
          <w:sz w:val="24"/>
          <w:szCs w:val="24"/>
          <w:highlight w:val="none"/>
        </w:rPr>
        <w:t>（北京时间）。</w:t>
      </w:r>
    </w:p>
    <w:p w14:paraId="699B4C2A">
      <w:pPr>
        <w:adjustRightInd w:val="0"/>
        <w:snapToGrid w:val="0"/>
        <w:spacing w:line="360" w:lineRule="auto"/>
        <w:ind w:firstLine="482" w:firstLineChars="200"/>
        <w:textAlignment w:val="baseline"/>
        <w:rPr>
          <w:rFonts w:ascii="宋体" w:hAnsi="宋体" w:cs="宋体"/>
          <w:bCs/>
          <w:color w:val="auto"/>
          <w:kern w:val="0"/>
          <w:sz w:val="24"/>
          <w:szCs w:val="24"/>
          <w:highlight w:val="none"/>
        </w:rPr>
      </w:pPr>
      <w:r>
        <w:rPr>
          <w:rFonts w:hint="eastAsia" w:ascii="宋体" w:hAnsi="宋体" w:cs="宋体"/>
          <w:b/>
          <w:bCs/>
          <w:color w:val="auto"/>
          <w:kern w:val="0"/>
          <w:sz w:val="24"/>
          <w:szCs w:val="24"/>
          <w:highlight w:val="none"/>
        </w:rPr>
        <w:t>2、地址</w:t>
      </w:r>
      <w:r>
        <w:rPr>
          <w:rFonts w:hint="eastAsia" w:ascii="宋体" w:hAnsi="宋体" w:cs="宋体"/>
          <w:bCs/>
          <w:color w:val="auto"/>
          <w:kern w:val="0"/>
          <w:sz w:val="24"/>
          <w:szCs w:val="24"/>
          <w:highlight w:val="none"/>
        </w:rPr>
        <w:t>：</w:t>
      </w:r>
      <w:r>
        <w:rPr>
          <w:rFonts w:hint="eastAsia" w:ascii="宋体" w:hAnsi="宋体" w:cs="宋体"/>
          <w:color w:val="auto"/>
          <w:kern w:val="0"/>
          <w:sz w:val="24"/>
          <w:highlight w:val="none"/>
          <w:u w:val="single"/>
        </w:rPr>
        <w:t>江苏大生集团有限公司</w:t>
      </w:r>
      <w:r>
        <w:rPr>
          <w:rFonts w:hint="eastAsia" w:ascii="宋体" w:hAnsi="宋体" w:cs="宋体"/>
          <w:color w:val="auto"/>
          <w:kern w:val="0"/>
          <w:sz w:val="24"/>
          <w:highlight w:val="none"/>
          <w:u w:val="single"/>
          <w:lang w:val="en-US" w:eastAsia="zh-CN"/>
        </w:rPr>
        <w:t>三</w:t>
      </w:r>
      <w:r>
        <w:rPr>
          <w:rFonts w:hint="eastAsia" w:ascii="宋体" w:hAnsi="宋体" w:cs="宋体"/>
          <w:color w:val="auto"/>
          <w:kern w:val="0"/>
          <w:sz w:val="24"/>
          <w:highlight w:val="none"/>
          <w:u w:val="single"/>
        </w:rPr>
        <w:t>楼</w:t>
      </w:r>
      <w:r>
        <w:rPr>
          <w:rFonts w:hint="eastAsia" w:ascii="宋体" w:hAnsi="宋体" w:cs="宋体"/>
          <w:color w:val="auto"/>
          <w:kern w:val="0"/>
          <w:sz w:val="24"/>
          <w:highlight w:val="none"/>
          <w:u w:val="single"/>
          <w:lang w:val="en-US" w:eastAsia="zh-CN"/>
        </w:rPr>
        <w:t>310</w:t>
      </w:r>
      <w:r>
        <w:rPr>
          <w:rFonts w:hint="eastAsia" w:ascii="宋体" w:hAnsi="宋体" w:cs="宋体"/>
          <w:color w:val="auto"/>
          <w:kern w:val="0"/>
          <w:sz w:val="24"/>
          <w:highlight w:val="none"/>
          <w:u w:val="single"/>
        </w:rPr>
        <w:t>会议室（大生路1号）</w:t>
      </w:r>
      <w:r>
        <w:rPr>
          <w:rFonts w:hint="eastAsia" w:ascii="宋体" w:hAnsi="宋体" w:cs="宋体"/>
          <w:color w:val="auto"/>
          <w:kern w:val="0"/>
          <w:sz w:val="24"/>
          <w:highlight w:val="none"/>
        </w:rPr>
        <w:t>。</w:t>
      </w:r>
    </w:p>
    <w:p w14:paraId="24D675ED">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六、公告期限</w:t>
      </w:r>
    </w:p>
    <w:p w14:paraId="4423F78E">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自本公告发布之日起3个工作日。</w:t>
      </w:r>
    </w:p>
    <w:p w14:paraId="14E8ED2A">
      <w:pPr>
        <w:adjustRightInd w:val="0"/>
        <w:snapToGrid w:val="0"/>
        <w:spacing w:line="360" w:lineRule="auto"/>
        <w:ind w:firstLine="482" w:firstLineChars="200"/>
        <w:rPr>
          <w:rFonts w:ascii="宋体" w:hAnsi="宋体" w:cs="宋体"/>
          <w:b/>
          <w:color w:val="auto"/>
          <w:kern w:val="0"/>
          <w:sz w:val="24"/>
          <w:szCs w:val="24"/>
          <w:highlight w:val="none"/>
        </w:rPr>
      </w:pPr>
      <w:bookmarkStart w:id="1" w:name="_Toc35393804"/>
      <w:bookmarkStart w:id="2" w:name="_Toc35393635"/>
      <w:r>
        <w:rPr>
          <w:rFonts w:hint="eastAsia" w:ascii="宋体" w:hAnsi="宋体" w:cs="宋体"/>
          <w:b/>
          <w:color w:val="auto"/>
          <w:kern w:val="0"/>
          <w:sz w:val="24"/>
          <w:szCs w:val="24"/>
          <w:highlight w:val="none"/>
        </w:rPr>
        <w:t>七、其他补充事宜</w:t>
      </w:r>
      <w:bookmarkEnd w:id="1"/>
      <w:bookmarkEnd w:id="2"/>
      <w:r>
        <w:rPr>
          <w:rFonts w:hint="eastAsia" w:ascii="宋体" w:hAnsi="宋体" w:cs="宋体"/>
          <w:b/>
          <w:color w:val="auto"/>
          <w:kern w:val="0"/>
          <w:sz w:val="24"/>
          <w:szCs w:val="24"/>
          <w:highlight w:val="none"/>
        </w:rPr>
        <w:t>：</w:t>
      </w:r>
    </w:p>
    <w:p w14:paraId="154174AA">
      <w:pPr>
        <w:adjustRightInd w:val="0"/>
        <w:snapToGrid w:val="0"/>
        <w:spacing w:line="360" w:lineRule="auto"/>
        <w:ind w:firstLine="480" w:firstLineChars="200"/>
        <w:textAlignment w:val="baseline"/>
        <w:rPr>
          <w:rFonts w:ascii="宋体" w:hAnsi="宋体" w:cs="宋体"/>
          <w:b/>
          <w:color w:val="auto"/>
          <w:kern w:val="0"/>
          <w:sz w:val="24"/>
          <w:szCs w:val="24"/>
          <w:highlight w:val="none"/>
          <w:u w:val="single"/>
        </w:rPr>
      </w:pPr>
      <w:r>
        <w:rPr>
          <w:rFonts w:hint="eastAsia" w:ascii="宋体" w:hAnsi="宋体" w:cs="宋体"/>
          <w:bCs/>
          <w:color w:val="auto"/>
          <w:kern w:val="0"/>
          <w:sz w:val="24"/>
          <w:szCs w:val="24"/>
          <w:highlight w:val="none"/>
        </w:rPr>
        <w:t>1、本项目磋商保证金的形式：</w:t>
      </w:r>
      <w:r>
        <w:rPr>
          <w:rFonts w:hint="eastAsia" w:ascii="宋体" w:hAnsi="宋体" w:cs="宋体"/>
          <w:b/>
          <w:color w:val="auto"/>
          <w:kern w:val="0"/>
          <w:sz w:val="24"/>
          <w:szCs w:val="24"/>
          <w:highlight w:val="none"/>
          <w:u w:val="single"/>
        </w:rPr>
        <w:t>现金，单独信封密封，与响应文件一并递交至招标代理机构经办人员，其他形式递交的磋商保证金一律不予接受。</w:t>
      </w:r>
    </w:p>
    <w:p w14:paraId="1EAEBD7A">
      <w:pPr>
        <w:adjustRightInd w:val="0"/>
        <w:snapToGrid w:val="0"/>
        <w:spacing w:line="360" w:lineRule="auto"/>
        <w:ind w:firstLine="482" w:firstLineChars="200"/>
        <w:textAlignment w:val="baseline"/>
        <w:rPr>
          <w:rFonts w:ascii="宋体" w:hAnsi="宋体" w:cs="宋体"/>
          <w:bCs/>
          <w:color w:val="auto"/>
          <w:kern w:val="0"/>
          <w:sz w:val="24"/>
          <w:szCs w:val="24"/>
          <w:highlight w:val="none"/>
        </w:rPr>
      </w:pPr>
      <w:r>
        <w:rPr>
          <w:rFonts w:hint="eastAsia" w:ascii="宋体" w:hAnsi="宋体" w:cs="宋体"/>
          <w:b/>
          <w:color w:val="auto"/>
          <w:kern w:val="0"/>
          <w:sz w:val="24"/>
          <w:szCs w:val="24"/>
          <w:highlight w:val="none"/>
          <w:u w:val="single"/>
        </w:rPr>
        <w:t>磋商保证金的金额：人民币贰仟元整/响应单位。</w:t>
      </w:r>
    </w:p>
    <w:p w14:paraId="2CB4273C">
      <w:pPr>
        <w:adjustRightInd w:val="0"/>
        <w:snapToGrid w:val="0"/>
        <w:spacing w:line="360" w:lineRule="auto"/>
        <w:ind w:firstLine="480" w:firstLineChars="200"/>
        <w:rPr>
          <w:rFonts w:ascii="宋体" w:hAnsi="宋体" w:cs="宋体"/>
          <w:color w:val="auto"/>
          <w:kern w:val="0"/>
          <w:sz w:val="24"/>
          <w:szCs w:val="24"/>
          <w:highlight w:val="none"/>
        </w:rPr>
      </w:pPr>
      <w:bookmarkStart w:id="3" w:name="_Toc28359095"/>
      <w:bookmarkStart w:id="4" w:name="_Toc35393805"/>
      <w:bookmarkStart w:id="5" w:name="_Toc28359018"/>
      <w:bookmarkStart w:id="6" w:name="_Toc35393636"/>
      <w:r>
        <w:rPr>
          <w:rFonts w:hint="eastAsia" w:ascii="宋体" w:hAnsi="宋体" w:cs="宋体"/>
          <w:color w:val="auto"/>
          <w:kern w:val="0"/>
          <w:sz w:val="24"/>
          <w:szCs w:val="24"/>
          <w:highlight w:val="none"/>
        </w:rPr>
        <w:t>2、履约保证金：</w:t>
      </w:r>
      <w:r>
        <w:rPr>
          <w:rFonts w:hint="eastAsia" w:ascii="宋体" w:hAnsi="宋体" w:eastAsia="宋体" w:cs="宋体"/>
          <w:bCs/>
          <w:color w:val="auto"/>
          <w:spacing w:val="0"/>
          <w:w w:val="100"/>
          <w:kern w:val="0"/>
          <w:sz w:val="24"/>
          <w:szCs w:val="24"/>
          <w:highlight w:val="none"/>
          <w:lang w:val="en-US" w:eastAsia="zh-CN"/>
        </w:rPr>
        <w:t>为中标价的</w:t>
      </w:r>
      <w:r>
        <w:rPr>
          <w:rFonts w:hint="eastAsia" w:ascii="宋体" w:hAnsi="宋体" w:eastAsia="宋体" w:cs="宋体"/>
          <w:b/>
          <w:bCs w:val="0"/>
          <w:color w:val="auto"/>
          <w:spacing w:val="0"/>
          <w:w w:val="100"/>
          <w:kern w:val="0"/>
          <w:sz w:val="24"/>
          <w:szCs w:val="24"/>
          <w:highlight w:val="none"/>
          <w:u w:val="single"/>
          <w:lang w:val="en-US" w:eastAsia="zh-CN"/>
        </w:rPr>
        <w:t xml:space="preserve"> 10%</w:t>
      </w:r>
      <w:r>
        <w:rPr>
          <w:rFonts w:hint="eastAsia" w:ascii="宋体" w:hAnsi="宋体" w:cs="宋体"/>
          <w:b/>
          <w:bCs w:val="0"/>
          <w:color w:val="auto"/>
          <w:spacing w:val="0"/>
          <w:w w:val="100"/>
          <w:kern w:val="0"/>
          <w:sz w:val="24"/>
          <w:szCs w:val="24"/>
          <w:highlight w:val="none"/>
          <w:u w:val="single"/>
          <w:lang w:val="en-US" w:eastAsia="zh-CN"/>
        </w:rPr>
        <w:t xml:space="preserve"> </w:t>
      </w:r>
      <w:r>
        <w:rPr>
          <w:rFonts w:hint="eastAsia" w:ascii="宋体" w:hAnsi="宋体" w:eastAsia="宋体" w:cs="宋体"/>
          <w:b/>
          <w:bCs w:val="0"/>
          <w:color w:val="auto"/>
          <w:spacing w:val="0"/>
          <w:w w:val="100"/>
          <w:kern w:val="0"/>
          <w:sz w:val="24"/>
          <w:szCs w:val="24"/>
          <w:highlight w:val="none"/>
          <w:lang w:val="en-US" w:eastAsia="zh-CN"/>
        </w:rPr>
        <w:t xml:space="preserve"> </w:t>
      </w:r>
      <w:r>
        <w:rPr>
          <w:rFonts w:hint="eastAsia" w:ascii="宋体" w:hAnsi="宋体" w:cs="宋体"/>
          <w:color w:val="auto"/>
          <w:kern w:val="0"/>
          <w:sz w:val="24"/>
          <w:szCs w:val="24"/>
          <w:highlight w:val="none"/>
        </w:rPr>
        <w:t>。</w:t>
      </w:r>
    </w:p>
    <w:p w14:paraId="20DCD4A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szCs w:val="24"/>
          <w:highlight w:val="none"/>
        </w:rPr>
        <w:t>对项目需求部分（供应商其他资格要求、项目需求、评分标准）的询问、质疑请向采购人提出，由采购人负责答复；对项目磋商文件其它部分的询问请向采购人或招标代理提出。</w:t>
      </w:r>
    </w:p>
    <w:p w14:paraId="50CE69F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612D403">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八、凡对本次采购提出询问，请按以下方式联系</w:t>
      </w:r>
      <w:bookmarkEnd w:id="3"/>
      <w:bookmarkEnd w:id="4"/>
      <w:bookmarkEnd w:id="5"/>
      <w:bookmarkEnd w:id="6"/>
    </w:p>
    <w:tbl>
      <w:tblPr>
        <w:tblStyle w:val="47"/>
        <w:tblW w:w="940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3482"/>
        <w:gridCol w:w="1525"/>
        <w:gridCol w:w="3320"/>
      </w:tblGrid>
      <w:tr w14:paraId="5715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1037" w:type="dxa"/>
            <w:noWrap/>
            <w:tcMar>
              <w:top w:w="15" w:type="dxa"/>
              <w:left w:w="15" w:type="dxa"/>
              <w:bottom w:w="15" w:type="dxa"/>
              <w:right w:w="15" w:type="dxa"/>
            </w:tcMar>
            <w:vAlign w:val="center"/>
          </w:tcPr>
          <w:p w14:paraId="38504D7C">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招标人</w:t>
            </w:r>
          </w:p>
        </w:tc>
        <w:tc>
          <w:tcPr>
            <w:tcW w:w="3452" w:type="dxa"/>
            <w:noWrap/>
            <w:tcMar>
              <w:top w:w="15" w:type="dxa"/>
              <w:left w:w="15" w:type="dxa"/>
              <w:bottom w:w="15" w:type="dxa"/>
              <w:right w:w="15" w:type="dxa"/>
            </w:tcMar>
            <w:vAlign w:val="center"/>
          </w:tcPr>
          <w:p w14:paraId="75DC3F86">
            <w:pPr>
              <w:adjustRightInd w:val="0"/>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江苏大晟文化产业发展有限公司</w:t>
            </w:r>
          </w:p>
        </w:tc>
        <w:tc>
          <w:tcPr>
            <w:tcW w:w="1495" w:type="dxa"/>
            <w:noWrap/>
            <w:tcMar>
              <w:top w:w="15" w:type="dxa"/>
              <w:left w:w="15" w:type="dxa"/>
              <w:bottom w:w="15" w:type="dxa"/>
              <w:right w:w="15" w:type="dxa"/>
            </w:tcMar>
            <w:vAlign w:val="center"/>
          </w:tcPr>
          <w:p w14:paraId="10C39BDF">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招标代理机构</w:t>
            </w:r>
          </w:p>
        </w:tc>
        <w:tc>
          <w:tcPr>
            <w:tcW w:w="3275" w:type="dxa"/>
            <w:noWrap/>
            <w:tcMar>
              <w:top w:w="15" w:type="dxa"/>
              <w:left w:w="15" w:type="dxa"/>
              <w:bottom w:w="15" w:type="dxa"/>
              <w:right w:w="15" w:type="dxa"/>
            </w:tcMar>
            <w:vAlign w:val="center"/>
          </w:tcPr>
          <w:p w14:paraId="4E9C6AB7">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宏信天德工程顾问有限公司</w:t>
            </w:r>
          </w:p>
        </w:tc>
      </w:tr>
      <w:tr w14:paraId="2087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1037" w:type="dxa"/>
            <w:noWrap/>
            <w:tcMar>
              <w:top w:w="15" w:type="dxa"/>
              <w:left w:w="15" w:type="dxa"/>
              <w:bottom w:w="15" w:type="dxa"/>
              <w:right w:w="15" w:type="dxa"/>
            </w:tcMar>
            <w:vAlign w:val="center"/>
          </w:tcPr>
          <w:p w14:paraId="05375831">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地  址</w:t>
            </w:r>
          </w:p>
        </w:tc>
        <w:tc>
          <w:tcPr>
            <w:tcW w:w="3452" w:type="dxa"/>
            <w:noWrap/>
            <w:tcMar>
              <w:top w:w="15" w:type="dxa"/>
              <w:left w:w="15" w:type="dxa"/>
              <w:bottom w:w="15" w:type="dxa"/>
              <w:right w:w="15" w:type="dxa"/>
            </w:tcMar>
            <w:vAlign w:val="center"/>
          </w:tcPr>
          <w:p w14:paraId="4414E2B2">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eastAsia="宋体" w:cs="宋体"/>
                <w:b w:val="0"/>
                <w:bCs w:val="0"/>
                <w:color w:val="auto"/>
                <w:spacing w:val="0"/>
                <w:kern w:val="0"/>
                <w:sz w:val="24"/>
                <w:szCs w:val="24"/>
                <w:highlight w:val="none"/>
                <w:lang w:val="en-US" w:eastAsia="zh-CN"/>
              </w:rPr>
              <w:t>海安市城东镇鑫来路79号</w:t>
            </w:r>
          </w:p>
        </w:tc>
        <w:tc>
          <w:tcPr>
            <w:tcW w:w="1495" w:type="dxa"/>
            <w:noWrap/>
            <w:tcMar>
              <w:top w:w="15" w:type="dxa"/>
              <w:left w:w="15" w:type="dxa"/>
              <w:bottom w:w="15" w:type="dxa"/>
              <w:right w:w="15" w:type="dxa"/>
            </w:tcMar>
            <w:vAlign w:val="center"/>
          </w:tcPr>
          <w:p w14:paraId="789A1C46">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地  址</w:t>
            </w:r>
          </w:p>
        </w:tc>
        <w:tc>
          <w:tcPr>
            <w:tcW w:w="3275" w:type="dxa"/>
            <w:noWrap/>
            <w:tcMar>
              <w:top w:w="15" w:type="dxa"/>
              <w:left w:w="15" w:type="dxa"/>
              <w:bottom w:w="15" w:type="dxa"/>
              <w:right w:w="15" w:type="dxa"/>
            </w:tcMar>
            <w:vAlign w:val="center"/>
          </w:tcPr>
          <w:p w14:paraId="1B722D0C">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南通市崇川区北大街108号万科壹中心8楼北区</w:t>
            </w:r>
          </w:p>
        </w:tc>
      </w:tr>
      <w:tr w14:paraId="319F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1037" w:type="dxa"/>
            <w:noWrap/>
            <w:tcMar>
              <w:top w:w="15" w:type="dxa"/>
              <w:left w:w="15" w:type="dxa"/>
              <w:bottom w:w="15" w:type="dxa"/>
              <w:right w:w="15" w:type="dxa"/>
            </w:tcMar>
            <w:vAlign w:val="center"/>
          </w:tcPr>
          <w:p w14:paraId="1E8BF314">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p>
        </w:tc>
        <w:tc>
          <w:tcPr>
            <w:tcW w:w="3452" w:type="dxa"/>
            <w:noWrap/>
            <w:tcMar>
              <w:top w:w="15" w:type="dxa"/>
              <w:left w:w="15" w:type="dxa"/>
              <w:bottom w:w="15" w:type="dxa"/>
              <w:right w:w="15" w:type="dxa"/>
            </w:tcMar>
            <w:vAlign w:val="center"/>
          </w:tcPr>
          <w:p w14:paraId="1C86A9C4">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eastAsia="宋体" w:cs="宋体"/>
                <w:color w:val="auto"/>
                <w:spacing w:val="0"/>
                <w:kern w:val="0"/>
                <w:position w:val="0"/>
                <w:sz w:val="24"/>
                <w:szCs w:val="24"/>
                <w:highlight w:val="none"/>
                <w:lang w:val="en-US" w:eastAsia="zh-CN"/>
              </w:rPr>
              <w:t>俞工</w:t>
            </w:r>
          </w:p>
        </w:tc>
        <w:tc>
          <w:tcPr>
            <w:tcW w:w="1495" w:type="dxa"/>
            <w:noWrap/>
            <w:tcMar>
              <w:top w:w="15" w:type="dxa"/>
              <w:left w:w="15" w:type="dxa"/>
              <w:bottom w:w="15" w:type="dxa"/>
              <w:right w:w="15" w:type="dxa"/>
            </w:tcMar>
            <w:vAlign w:val="center"/>
          </w:tcPr>
          <w:p w14:paraId="5BE55A38">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p>
        </w:tc>
        <w:tc>
          <w:tcPr>
            <w:tcW w:w="3275" w:type="dxa"/>
            <w:noWrap/>
            <w:tcMar>
              <w:top w:w="15" w:type="dxa"/>
              <w:left w:w="15" w:type="dxa"/>
              <w:bottom w:w="15" w:type="dxa"/>
              <w:right w:w="15" w:type="dxa"/>
            </w:tcMar>
            <w:vAlign w:val="center"/>
          </w:tcPr>
          <w:p w14:paraId="2D82B90C">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董安国</w:t>
            </w:r>
          </w:p>
        </w:tc>
      </w:tr>
      <w:tr w14:paraId="7764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1037" w:type="dxa"/>
            <w:noWrap/>
            <w:tcMar>
              <w:top w:w="15" w:type="dxa"/>
              <w:left w:w="15" w:type="dxa"/>
              <w:bottom w:w="15" w:type="dxa"/>
              <w:right w:w="15" w:type="dxa"/>
            </w:tcMar>
            <w:vAlign w:val="center"/>
          </w:tcPr>
          <w:p w14:paraId="1A8D128D">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  话</w:t>
            </w:r>
          </w:p>
        </w:tc>
        <w:tc>
          <w:tcPr>
            <w:tcW w:w="3452" w:type="dxa"/>
            <w:noWrap/>
            <w:tcMar>
              <w:top w:w="15" w:type="dxa"/>
              <w:left w:w="15" w:type="dxa"/>
              <w:bottom w:w="15" w:type="dxa"/>
              <w:right w:w="15" w:type="dxa"/>
            </w:tcMar>
            <w:vAlign w:val="center"/>
          </w:tcPr>
          <w:p w14:paraId="2C06FEA8">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spacing w:val="0"/>
                <w:kern w:val="0"/>
                <w:position w:val="0"/>
                <w:sz w:val="24"/>
                <w:szCs w:val="24"/>
                <w:highlight w:val="none"/>
              </w:rPr>
              <w:t>18605130023</w:t>
            </w:r>
          </w:p>
        </w:tc>
        <w:tc>
          <w:tcPr>
            <w:tcW w:w="1495" w:type="dxa"/>
            <w:noWrap/>
            <w:tcMar>
              <w:top w:w="15" w:type="dxa"/>
              <w:left w:w="15" w:type="dxa"/>
              <w:bottom w:w="15" w:type="dxa"/>
              <w:right w:w="15" w:type="dxa"/>
            </w:tcMar>
            <w:vAlign w:val="center"/>
          </w:tcPr>
          <w:p w14:paraId="023ED89D">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  话</w:t>
            </w:r>
          </w:p>
        </w:tc>
        <w:tc>
          <w:tcPr>
            <w:tcW w:w="3275" w:type="dxa"/>
            <w:noWrap/>
            <w:tcMar>
              <w:top w:w="15" w:type="dxa"/>
              <w:left w:w="15" w:type="dxa"/>
              <w:bottom w:w="15" w:type="dxa"/>
              <w:right w:w="15" w:type="dxa"/>
            </w:tcMar>
            <w:vAlign w:val="center"/>
          </w:tcPr>
          <w:p w14:paraId="3CEEA3D5">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18912299056</w:t>
            </w:r>
          </w:p>
        </w:tc>
      </w:tr>
      <w:tr w14:paraId="039B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1037" w:type="dxa"/>
            <w:noWrap/>
            <w:tcMar>
              <w:top w:w="15" w:type="dxa"/>
              <w:left w:w="15" w:type="dxa"/>
              <w:bottom w:w="15" w:type="dxa"/>
              <w:right w:w="15" w:type="dxa"/>
            </w:tcMar>
            <w:vAlign w:val="center"/>
          </w:tcPr>
          <w:p w14:paraId="35DA1CF4">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电子邮箱</w:t>
            </w:r>
          </w:p>
        </w:tc>
        <w:tc>
          <w:tcPr>
            <w:tcW w:w="3452" w:type="dxa"/>
            <w:noWrap/>
            <w:tcMar>
              <w:top w:w="15" w:type="dxa"/>
              <w:left w:w="15" w:type="dxa"/>
              <w:bottom w:w="15" w:type="dxa"/>
              <w:right w:w="15" w:type="dxa"/>
            </w:tcMar>
            <w:vAlign w:val="center"/>
          </w:tcPr>
          <w:p w14:paraId="58378A9E">
            <w:pPr>
              <w:tabs>
                <w:tab w:val="left" w:pos="431"/>
              </w:tabs>
              <w:adjustRightInd w:val="0"/>
              <w:snapToGrid w:val="0"/>
              <w:spacing w:line="360" w:lineRule="auto"/>
              <w:ind w:hanging="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rPr>
              <w:tab/>
            </w:r>
            <w:r>
              <w:rPr>
                <w:rFonts w:hint="eastAsia" w:ascii="宋体" w:hAnsi="宋体" w:cs="宋体"/>
                <w:color w:val="auto"/>
                <w:kern w:val="0"/>
                <w:sz w:val="24"/>
                <w:highlight w:val="none"/>
              </w:rPr>
              <w:t>/</w:t>
            </w:r>
          </w:p>
        </w:tc>
        <w:tc>
          <w:tcPr>
            <w:tcW w:w="1495" w:type="dxa"/>
            <w:noWrap/>
            <w:tcMar>
              <w:top w:w="15" w:type="dxa"/>
              <w:left w:w="15" w:type="dxa"/>
              <w:bottom w:w="15" w:type="dxa"/>
              <w:right w:w="15" w:type="dxa"/>
            </w:tcMar>
            <w:vAlign w:val="center"/>
          </w:tcPr>
          <w:p w14:paraId="6EB2D8C6">
            <w:pPr>
              <w:adjustRightInd w:val="0"/>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电子邮箱</w:t>
            </w:r>
          </w:p>
        </w:tc>
        <w:tc>
          <w:tcPr>
            <w:tcW w:w="3275" w:type="dxa"/>
            <w:noWrap/>
            <w:tcMar>
              <w:top w:w="15" w:type="dxa"/>
              <w:left w:w="15" w:type="dxa"/>
              <w:bottom w:w="15" w:type="dxa"/>
              <w:right w:w="15" w:type="dxa"/>
            </w:tcMar>
            <w:vAlign w:val="center"/>
          </w:tcPr>
          <w:p w14:paraId="78631DF0">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812298892@qq.com</w:t>
            </w:r>
          </w:p>
        </w:tc>
      </w:tr>
    </w:tbl>
    <w:p w14:paraId="25C7AF1A">
      <w:pPr>
        <w:adjustRightInd w:val="0"/>
        <w:snapToGrid w:val="0"/>
        <w:spacing w:line="360" w:lineRule="auto"/>
        <w:jc w:val="center"/>
        <w:rPr>
          <w:rFonts w:ascii="宋体" w:hAnsi="宋体" w:cs="宋体"/>
          <w:color w:val="auto"/>
          <w:kern w:val="0"/>
          <w:sz w:val="36"/>
          <w:szCs w:val="36"/>
          <w:highlight w:val="none"/>
        </w:rPr>
      </w:pPr>
    </w:p>
    <w:p w14:paraId="58EE5533">
      <w:pPr>
        <w:pStyle w:val="46"/>
        <w:adjustRightInd w:val="0"/>
        <w:snapToGrid w:val="0"/>
        <w:spacing w:after="0" w:line="360" w:lineRule="auto"/>
        <w:ind w:left="0" w:leftChars="0" w:firstLine="0" w:firstLineChars="0"/>
        <w:jc w:val="center"/>
        <w:outlineLvl w:val="0"/>
        <w:rPr>
          <w:rFonts w:ascii="宋体" w:hAnsi="宋体" w:cs="宋体"/>
          <w:color w:val="auto"/>
          <w:kern w:val="0"/>
          <w:sz w:val="48"/>
          <w:szCs w:val="44"/>
          <w:highlight w:val="none"/>
        </w:rPr>
      </w:pPr>
      <w:r>
        <w:rPr>
          <w:rFonts w:hint="eastAsia" w:ascii="宋体" w:hAnsi="宋体" w:cs="宋体"/>
          <w:color w:val="auto"/>
          <w:kern w:val="0"/>
          <w:highlight w:val="none"/>
        </w:rPr>
        <w:br w:type="page"/>
      </w:r>
      <w:bookmarkStart w:id="7" w:name="_Toc5381"/>
      <w:r>
        <w:rPr>
          <w:rFonts w:hint="eastAsia" w:ascii="宋体" w:hAnsi="宋体" w:cs="宋体"/>
          <w:b/>
          <w:color w:val="auto"/>
          <w:kern w:val="0"/>
          <w:sz w:val="32"/>
          <w:szCs w:val="36"/>
          <w:highlight w:val="none"/>
        </w:rPr>
        <w:t>第二章 供应商须知</w:t>
      </w:r>
      <w:bookmarkEnd w:id="7"/>
    </w:p>
    <w:p w14:paraId="2AA86DC3">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一、说明</w:t>
      </w:r>
    </w:p>
    <w:p w14:paraId="01831B51">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1、本竞争性磋商文件仅适用于采购人组织的竞争性磋商采购活动。</w:t>
      </w:r>
    </w:p>
    <w:p w14:paraId="1FFD7A10">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2、竞争性磋商活动及因本次磋商产生的合同受中国法律制约和保护。</w:t>
      </w:r>
    </w:p>
    <w:p w14:paraId="3258B0C5">
      <w:pPr>
        <w:adjustRightInd w:val="0"/>
        <w:snapToGrid w:val="0"/>
        <w:spacing w:line="360" w:lineRule="auto"/>
        <w:ind w:firstLine="480" w:firstLineChars="200"/>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3、竞争性磋商文件的解释权属于采购人。</w:t>
      </w:r>
    </w:p>
    <w:p w14:paraId="1E0CF31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4、供应商在网上下载磋商文件后，应仔细检查磋商文件的所有内容，如对本次采购活动事项有疑问的，应向采购人或采购代理机构以书面形式提出，</w:t>
      </w:r>
      <w:r>
        <w:rPr>
          <w:rFonts w:hint="eastAsia" w:ascii="宋体" w:hAnsi="宋体" w:cs="宋体"/>
          <w:color w:val="auto"/>
          <w:kern w:val="0"/>
          <w:sz w:val="24"/>
          <w:szCs w:val="24"/>
          <w:highlight w:val="none"/>
          <w:u w:val="double"/>
        </w:rPr>
        <w:t>否则视同供应商理解并接受本磋商文件的所有内容，因此引起的损失由供应商自负，而且供应商不得在磋商结束后针对磋商文件的所有内容提出质疑事项</w:t>
      </w:r>
      <w:r>
        <w:rPr>
          <w:rFonts w:hint="eastAsia" w:ascii="宋体" w:hAnsi="宋体" w:cs="宋体"/>
          <w:color w:val="auto"/>
          <w:kern w:val="0"/>
          <w:sz w:val="24"/>
          <w:szCs w:val="24"/>
          <w:highlight w:val="none"/>
        </w:rPr>
        <w:t>。</w:t>
      </w:r>
      <w:r>
        <w:rPr>
          <w:rFonts w:hint="eastAsia" w:ascii="宋体" w:hAnsi="宋体" w:cs="宋体"/>
          <w:b/>
          <w:color w:val="auto"/>
          <w:kern w:val="0"/>
          <w:sz w:val="24"/>
          <w:szCs w:val="24"/>
          <w:highlight w:val="none"/>
        </w:rPr>
        <w:t>非书面形式的不作为日后质疑提出的依据。</w:t>
      </w:r>
    </w:p>
    <w:p w14:paraId="76CC36E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3603211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6、供应商在磋商开始前自行踏勘现场，供应商务必自行认真踏勘现场条件，进一步获取所需信息，一旦中标不得对现场条件提出额外要求，不得要求增加费用，采购人可视情组织答疑会。</w:t>
      </w:r>
    </w:p>
    <w:p w14:paraId="63345196">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二、磋商文件的澄清、修改、答疑</w:t>
      </w:r>
    </w:p>
    <w:p w14:paraId="06A5ABBD">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1、代理机构有权对发出的磋商文件进行必要的澄清、修改或补充。</w:t>
      </w:r>
    </w:p>
    <w:p w14:paraId="118600D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2、磋商文件的澄清、修改、补充等内容均以书面明确的形式发布，并以</w:t>
      </w:r>
      <w:r>
        <w:rPr>
          <w:rFonts w:hint="eastAsia" w:ascii="宋体" w:hAnsi="宋体" w:cs="宋体"/>
          <w:bCs/>
          <w:color w:val="auto"/>
          <w:kern w:val="0"/>
          <w:sz w:val="24"/>
          <w:szCs w:val="24"/>
          <w:highlight w:val="none"/>
        </w:rPr>
        <w:t>江苏大生集团有限公司官网</w:t>
      </w:r>
      <w:r>
        <w:rPr>
          <w:rFonts w:hint="eastAsia" w:ascii="宋体" w:hAnsi="宋体" w:cs="宋体"/>
          <w:color w:val="auto"/>
          <w:kern w:val="0"/>
          <w:sz w:val="24"/>
          <w:szCs w:val="24"/>
          <w:highlight w:val="none"/>
        </w:rPr>
        <w:t>发布的信息为准。</w:t>
      </w:r>
    </w:p>
    <w:p w14:paraId="0A10E3E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3、代理机构对磋商文件的澄清、修改将构成磋商文件的一部分，对响应磋商的供应商具有约束力。</w:t>
      </w:r>
    </w:p>
    <w:p w14:paraId="72DB972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3441802E">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5、除非代理机构以书面的形式对磋商文件作出澄清、修改及补充，供应商对涉及磋商文件的任何推论、理解和结论所造成的结果，均由供应商自负。</w:t>
      </w:r>
    </w:p>
    <w:p w14:paraId="2A9C150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6、采购单位视情组织答疑会。如有产生答疑且对磋商文件内容有修改，代理机构将按照本须知有关规定，以补充通知（公告）的方式发出。</w:t>
      </w:r>
    </w:p>
    <w:p w14:paraId="79625822">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三、本项目涉及到的现场勘察</w:t>
      </w:r>
    </w:p>
    <w:p w14:paraId="10EC892C">
      <w:pPr>
        <w:adjustRightInd w:val="0"/>
        <w:snapToGrid w:val="0"/>
        <w:spacing w:line="360" w:lineRule="auto"/>
        <w:ind w:firstLine="480" w:firstLineChars="200"/>
        <w:textAlignment w:val="baseline"/>
        <w:rPr>
          <w:rFonts w:hint="eastAsia" w:ascii="宋体" w:hAnsi="宋体" w:cs="宋体"/>
          <w:b/>
          <w:bCs/>
          <w:color w:val="auto"/>
          <w:kern w:val="0"/>
          <w:sz w:val="24"/>
          <w:szCs w:val="24"/>
          <w:highlight w:val="none"/>
          <w:u w:val="single"/>
        </w:rPr>
      </w:pPr>
      <w:r>
        <w:rPr>
          <w:rFonts w:hint="eastAsia" w:ascii="宋体" w:hAnsi="宋体" w:cs="宋体"/>
          <w:color w:val="auto"/>
          <w:kern w:val="0"/>
          <w:sz w:val="24"/>
          <w:szCs w:val="24"/>
          <w:highlight w:val="none"/>
        </w:rPr>
        <w:t>1、根据自身需要，供应商可在响应文件递交之日前对有关现场和周围环境进行勘察，以获取编制响应文件和签署合同所需的信息。勘察现场所发生的费用由供应商自己承担。</w:t>
      </w:r>
    </w:p>
    <w:p w14:paraId="74FAF80A">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2、采购人向供应商提供的有关现场的资料和数据，是采购人现有的并认为能使供应商可利用的资料。采购人对供应商由此而做出的推论、理解和结论概不负责。</w:t>
      </w:r>
    </w:p>
    <w:p w14:paraId="2CFDD905">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3、经采购人允许，供应商可为勘察目的进入采购人的项目现场，但供应商不得因此使采购人承担有关的责任和蒙受损失。供应商应承担勘察现场的责任和风险。</w:t>
      </w:r>
    </w:p>
    <w:p w14:paraId="210B3ADB">
      <w:pPr>
        <w:adjustRightInd w:val="0"/>
        <w:snapToGrid w:val="0"/>
        <w:spacing w:line="360" w:lineRule="auto"/>
        <w:ind w:firstLine="480" w:firstLineChars="20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4、供应商</w:t>
      </w:r>
      <w:r>
        <w:rPr>
          <w:rFonts w:hint="eastAsia" w:ascii="宋体" w:hAnsi="宋体" w:cs="宋体"/>
          <w:color w:val="auto"/>
          <w:kern w:val="0"/>
          <w:sz w:val="24"/>
          <w:szCs w:val="24"/>
          <w:highlight w:val="none"/>
          <w:lang w:val="en-US" w:eastAsia="zh-CN"/>
        </w:rPr>
        <w:t>按需</w:t>
      </w:r>
      <w:r>
        <w:rPr>
          <w:rFonts w:hint="eastAsia" w:ascii="宋体" w:hAnsi="宋体" w:cs="宋体"/>
          <w:color w:val="auto"/>
          <w:kern w:val="0"/>
          <w:sz w:val="24"/>
          <w:szCs w:val="24"/>
          <w:highlight w:val="none"/>
        </w:rPr>
        <w:t>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31330A42">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四、响应文件的编制及装订</w:t>
      </w:r>
    </w:p>
    <w:p w14:paraId="20599CB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供应商按磋商文件要求编写响应文件，并牢固装订成册。响应文件均需采用A4纸（图纸等除外）装订。响应文件不得行间插字、涂改、增删，如修改错漏处，须经响应文件签署人签字并加盖公章。</w:t>
      </w:r>
    </w:p>
    <w:p w14:paraId="66E38E3C">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五、响应文件的份数和签署</w:t>
      </w:r>
    </w:p>
    <w:p w14:paraId="18BAFE4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1、响应文件由：</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资格审查文件、</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2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技术响应文件、③报价响应文件</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④</w:t>
      </w:r>
      <w:r>
        <w:rPr>
          <w:rFonts w:hint="eastAsia" w:ascii="宋体" w:hAnsi="宋体" w:cs="宋体"/>
          <w:color w:val="auto"/>
          <w:kern w:val="0"/>
          <w:sz w:val="24"/>
          <w:szCs w:val="24"/>
          <w:highlight w:val="none"/>
          <w:lang w:val="en-US" w:eastAsia="zh-CN"/>
        </w:rPr>
        <w:t>电子</w:t>
      </w:r>
      <w:r>
        <w:rPr>
          <w:rFonts w:hint="eastAsia" w:ascii="宋体" w:hAnsi="宋体" w:cs="宋体"/>
          <w:color w:val="auto"/>
          <w:kern w:val="0"/>
          <w:sz w:val="24"/>
          <w:szCs w:val="24"/>
          <w:highlight w:val="none"/>
        </w:rPr>
        <w:t>响应</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rPr>
        <w:t>共</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部分组成（以下由文件序号代称）。</w:t>
      </w:r>
    </w:p>
    <w:p w14:paraId="213686E4">
      <w:pPr>
        <w:adjustRightInd w:val="0"/>
        <w:snapToGrid w:val="0"/>
        <w:spacing w:line="360" w:lineRule="auto"/>
        <w:ind w:firstLine="480" w:firstLineChars="200"/>
        <w:textAlignment w:val="baseline"/>
        <w:rPr>
          <w:rFonts w:hint="default" w:ascii="宋体" w:hAnsi="宋体" w:cs="宋体"/>
          <w:b/>
          <w:color w:val="auto"/>
          <w:kern w:val="0"/>
          <w:sz w:val="24"/>
          <w:szCs w:val="24"/>
          <w:highlight w:val="none"/>
          <w:u w:val="single"/>
          <w:lang w:val="en-US"/>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2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3 \* GB3</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③</w:t>
      </w:r>
      <w:r>
        <w:rPr>
          <w:rFonts w:hint="eastAsia" w:ascii="宋体" w:hAnsi="宋体" w:cs="宋体"/>
          <w:color w:val="auto"/>
          <w:kern w:val="0"/>
          <w:sz w:val="24"/>
          <w:szCs w:val="24"/>
          <w:highlight w:val="none"/>
        </w:rPr>
        <w:fldChar w:fldCharType="end"/>
      </w:r>
      <w:r>
        <w:rPr>
          <w:rFonts w:hint="eastAsia" w:ascii="宋体" w:hAnsi="宋体" w:cs="宋体"/>
          <w:b/>
          <w:color w:val="auto"/>
          <w:kern w:val="0"/>
          <w:sz w:val="24"/>
          <w:szCs w:val="24"/>
          <w:highlight w:val="none"/>
        </w:rPr>
        <w:t>响应文件均为一式叁份，其中“正本”壹份和“副本”贰份。</w:t>
      </w:r>
      <w:r>
        <w:rPr>
          <w:rFonts w:hint="eastAsia" w:ascii="宋体" w:hAnsi="宋体" w:cs="宋体"/>
          <w:color w:val="auto"/>
          <w:kern w:val="0"/>
          <w:sz w:val="24"/>
          <w:szCs w:val="24"/>
          <w:highlight w:val="none"/>
        </w:rPr>
        <w:t>在每份响应文件上要明确标注项目名称、对应的响应文件名称、供应商的全称、日期、“正本”、“副本”字样。“正本”和“副本”若有差异，概以“正本”为准。</w:t>
      </w:r>
      <w:r>
        <w:rPr>
          <w:rFonts w:hint="eastAsia" w:ascii="宋体" w:hAnsi="宋体" w:eastAsia="宋体" w:cs="宋体"/>
          <w:b/>
          <w:bCs/>
          <w:color w:val="auto"/>
          <w:kern w:val="0"/>
          <w:sz w:val="24"/>
          <w:szCs w:val="24"/>
          <w:highlight w:val="none"/>
          <w:lang w:eastAsia="zh-CN"/>
        </w:rPr>
        <w:t>④</w:t>
      </w:r>
      <w:r>
        <w:rPr>
          <w:rFonts w:hint="eastAsia" w:ascii="宋体" w:hAnsi="宋体" w:cs="宋体"/>
          <w:b/>
          <w:bCs/>
          <w:color w:val="auto"/>
          <w:kern w:val="0"/>
          <w:sz w:val="24"/>
          <w:szCs w:val="24"/>
          <w:highlight w:val="none"/>
          <w:lang w:val="en-US" w:eastAsia="zh-CN"/>
        </w:rPr>
        <w:t>电子</w:t>
      </w:r>
      <w:r>
        <w:rPr>
          <w:rFonts w:hint="eastAsia" w:ascii="宋体" w:hAnsi="宋体" w:cs="宋体"/>
          <w:b/>
          <w:bCs/>
          <w:color w:val="auto"/>
          <w:kern w:val="0"/>
          <w:sz w:val="24"/>
          <w:szCs w:val="24"/>
          <w:highlight w:val="none"/>
        </w:rPr>
        <w:t>响应</w:t>
      </w:r>
      <w:r>
        <w:rPr>
          <w:rFonts w:hint="eastAsia" w:ascii="宋体" w:hAnsi="宋体" w:cs="宋体"/>
          <w:b/>
          <w:bCs/>
          <w:color w:val="auto"/>
          <w:kern w:val="0"/>
          <w:sz w:val="24"/>
          <w:szCs w:val="24"/>
          <w:highlight w:val="none"/>
          <w:lang w:val="en-US" w:eastAsia="zh-CN"/>
        </w:rPr>
        <w:t>文件只需提供</w:t>
      </w:r>
      <w:r>
        <w:rPr>
          <w:rFonts w:hint="eastAsia" w:ascii="宋体" w:hAnsi="宋体" w:cs="宋体"/>
          <w:b/>
          <w:bCs/>
          <w:color w:val="auto"/>
          <w:kern w:val="0"/>
          <w:sz w:val="24"/>
          <w:szCs w:val="24"/>
          <w:highlight w:val="none"/>
          <w:u w:val="single"/>
          <w:lang w:val="en-US" w:eastAsia="zh-CN"/>
        </w:rPr>
        <w:t>壹份</w:t>
      </w:r>
      <w:r>
        <w:rPr>
          <w:rFonts w:hint="eastAsia" w:ascii="宋体" w:hAnsi="宋体" w:cs="宋体"/>
          <w:b/>
          <w:bCs/>
          <w:color w:val="auto"/>
          <w:kern w:val="0"/>
          <w:sz w:val="24"/>
          <w:szCs w:val="24"/>
          <w:highlight w:val="none"/>
          <w:lang w:val="en-US" w:eastAsia="zh-CN"/>
        </w:rPr>
        <w:t>。</w:t>
      </w:r>
    </w:p>
    <w:p w14:paraId="60D4720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3、响应文件中的所有“正本”，其正文内容须按磋商文件要求由供应商法定代表人或被授权人签字（或盖章）并加盖单位公章。“副本”可复印，但须加盖单位公章。</w:t>
      </w:r>
    </w:p>
    <w:p w14:paraId="5C839CCB">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六、响应文件的密封及标记</w:t>
      </w:r>
    </w:p>
    <w:p w14:paraId="50A1630C">
      <w:pPr>
        <w:adjustRightInd w:val="0"/>
        <w:snapToGrid w:val="0"/>
        <w:spacing w:line="360" w:lineRule="auto"/>
        <w:ind w:firstLine="480" w:firstLineChars="200"/>
        <w:textAlignment w:val="baseline"/>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1、供应商须将本项目响应文件：</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2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3 \* GB3</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③</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④</w:t>
      </w:r>
      <w:r>
        <w:rPr>
          <w:rFonts w:hint="eastAsia" w:ascii="宋体" w:hAnsi="宋体" w:cs="宋体"/>
          <w:b/>
          <w:color w:val="auto"/>
          <w:kern w:val="0"/>
          <w:sz w:val="24"/>
          <w:szCs w:val="24"/>
          <w:highlight w:val="none"/>
        </w:rPr>
        <w:t>单独密封</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2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3 \* GB3</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③</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响应文件正副本可统一密封或分别密封，如正本和副本分别密封的，应在封袋上标明正、副本字样。</w:t>
      </w:r>
    </w:p>
    <w:p w14:paraId="4917F63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2、密封后，应在每一密封的响应文件上明确标注磋商项目名称、响应文件各自对应的名称、供应商的全称及日期，并加盖供应商公章。</w:t>
      </w:r>
    </w:p>
    <w:p w14:paraId="4A14FCF4">
      <w:pPr>
        <w:adjustRightInd w:val="0"/>
        <w:snapToGrid w:val="0"/>
        <w:spacing w:line="360" w:lineRule="auto"/>
        <w:ind w:firstLine="482" w:firstLineChars="200"/>
        <w:textAlignment w:val="baseline"/>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【特别提醒】</w:t>
      </w:r>
      <w:r>
        <w:rPr>
          <w:rFonts w:hint="eastAsia" w:ascii="宋体" w:hAnsi="宋体" w:cs="宋体"/>
          <w:color w:val="auto"/>
          <w:kern w:val="0"/>
          <w:sz w:val="24"/>
          <w:szCs w:val="24"/>
          <w:highlight w:val="none"/>
        </w:rPr>
        <w:t>响应文件中的</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1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 2 \* GB3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的“正本”或“副本”中，均不得含有报价响应文件中报价表（报价单）内的任何项目价格，否则作无效响应处理。</w:t>
      </w:r>
    </w:p>
    <w:p w14:paraId="30185CA1">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七、磋商报价</w:t>
      </w:r>
    </w:p>
    <w:p w14:paraId="4512985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1、报价供应商应对所要采购的全部内容进行报价，一个标的只允许一个报价，只报其中部分内容的或出现选择性报价，将被视为无效报价。</w:t>
      </w:r>
    </w:p>
    <w:p w14:paraId="5D7AAE8C">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2、磋商报价均以人民币为报价的币种。</w:t>
      </w:r>
    </w:p>
    <w:p w14:paraId="47C9E9C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5E81358B">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sz w:val="24"/>
          <w:szCs w:val="21"/>
          <w:highlight w:val="none"/>
          <w:u w:val="none"/>
        </w:rPr>
        <w:t>投标报价（以人民币计价）应包括产品运至现场并安装调试运行合格（不因市场价格因素及政策性调整的变化而调整），包含但不限于产品生产成本、加工制作费、劳务费、管理费、材料费、设备费、机械费、包装费、运输费、保险费、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14:paraId="32926D1A">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78CB174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6、竞争性磋商的最终报价为成交价。</w:t>
      </w:r>
    </w:p>
    <w:p w14:paraId="6AFAC3D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7、最终报价将作为磋商小组评定成交供应商的依据。</w:t>
      </w:r>
    </w:p>
    <w:p w14:paraId="459DCEC3">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八、联合体参与磋商</w:t>
      </w:r>
    </w:p>
    <w:p w14:paraId="2382F43A">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不接受任何形式的联合体参与本项目的竞争性磋商。</w:t>
      </w:r>
    </w:p>
    <w:p w14:paraId="08BFFDCA">
      <w:pPr>
        <w:adjustRightInd w:val="0"/>
        <w:snapToGrid w:val="0"/>
        <w:spacing w:line="360" w:lineRule="auto"/>
        <w:ind w:firstLine="482" w:firstLineChars="200"/>
        <w:textAlignment w:val="baseline"/>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九、响应文件及</w:t>
      </w:r>
      <w:r>
        <w:rPr>
          <w:rFonts w:hint="eastAsia" w:ascii="宋体" w:hAnsi="宋体" w:cs="宋体"/>
          <w:b/>
          <w:color w:val="auto"/>
          <w:kern w:val="0"/>
          <w:sz w:val="24"/>
          <w:szCs w:val="24"/>
          <w:highlight w:val="none"/>
        </w:rPr>
        <w:t>磋商</w:t>
      </w:r>
      <w:r>
        <w:rPr>
          <w:rFonts w:hint="eastAsia" w:ascii="宋体" w:hAnsi="宋体" w:cs="宋体"/>
          <w:b/>
          <w:bCs/>
          <w:color w:val="auto"/>
          <w:kern w:val="0"/>
          <w:sz w:val="24"/>
          <w:szCs w:val="24"/>
          <w:highlight w:val="none"/>
        </w:rPr>
        <w:t>费用</w:t>
      </w:r>
    </w:p>
    <w:p w14:paraId="17F7B67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招标代理服务费及评委费由成交供应商支付。其中招标代理费按成交价的1.6‰计算，不足2000元的，按照2000元计取，请参加投标的供应商在成本中自行考虑。上述费用领取成交通知书前，向代理公司一次性缴清。费用不单独列项，由投标人综合考虑在投标报价中。</w:t>
      </w:r>
    </w:p>
    <w:p w14:paraId="41F2952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2、磋商程序顺利进行后，除供应商的原件可退回外，其余所有的响应文件都将作为档案保存，不论成交与否，代理机构均不退回。</w:t>
      </w:r>
    </w:p>
    <w:p w14:paraId="39375E0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3、无论磋商过程和结果如何，参加项目磋商的供应商自行承担与本次项目磋商有关的全部费用。</w:t>
      </w:r>
    </w:p>
    <w:p w14:paraId="4244F6F9">
      <w:pPr>
        <w:autoSpaceDE w:val="0"/>
        <w:autoSpaceDN w:val="0"/>
        <w:adjustRightInd w:val="0"/>
        <w:snapToGrid w:val="0"/>
        <w:spacing w:line="360" w:lineRule="auto"/>
        <w:ind w:firstLine="482" w:firstLineChars="200"/>
        <w:contextualSpacing/>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十、履约保证金</w:t>
      </w:r>
    </w:p>
    <w:p w14:paraId="3B7C92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Cs/>
          <w:color w:val="auto"/>
          <w:spacing w:val="0"/>
          <w:w w:val="100"/>
          <w:kern w:val="0"/>
          <w:sz w:val="24"/>
          <w:szCs w:val="24"/>
          <w:highlight w:val="none"/>
          <w:lang w:val="en-US" w:eastAsia="zh-CN"/>
        </w:rPr>
      </w:pPr>
      <w:r>
        <w:rPr>
          <w:rFonts w:hint="eastAsia" w:ascii="宋体" w:hAnsi="宋体" w:eastAsia="宋体" w:cs="宋体"/>
          <w:bCs/>
          <w:color w:val="auto"/>
          <w:spacing w:val="0"/>
          <w:w w:val="100"/>
          <w:kern w:val="0"/>
          <w:sz w:val="24"/>
          <w:szCs w:val="24"/>
          <w:highlight w:val="none"/>
          <w:lang w:val="en-US" w:eastAsia="zh-CN"/>
        </w:rPr>
        <w:t>1.本项目中标后的履约保证金为中标价的</w:t>
      </w:r>
      <w:r>
        <w:rPr>
          <w:rFonts w:hint="eastAsia" w:ascii="宋体" w:hAnsi="宋体" w:eastAsia="宋体" w:cs="宋体"/>
          <w:b/>
          <w:bCs w:val="0"/>
          <w:color w:val="auto"/>
          <w:spacing w:val="0"/>
          <w:w w:val="100"/>
          <w:kern w:val="0"/>
          <w:sz w:val="24"/>
          <w:szCs w:val="24"/>
          <w:highlight w:val="none"/>
          <w:u w:val="single"/>
          <w:lang w:val="en-US" w:eastAsia="zh-CN"/>
        </w:rPr>
        <w:t xml:space="preserve"> 10%</w:t>
      </w:r>
      <w:r>
        <w:rPr>
          <w:rFonts w:hint="eastAsia" w:ascii="宋体" w:hAnsi="宋体" w:eastAsia="宋体" w:cs="宋体"/>
          <w:bCs/>
          <w:color w:val="auto"/>
          <w:spacing w:val="0"/>
          <w:w w:val="100"/>
          <w:kern w:val="0"/>
          <w:sz w:val="24"/>
          <w:szCs w:val="24"/>
          <w:highlight w:val="none"/>
          <w:lang w:val="en-US" w:eastAsia="zh-CN"/>
        </w:rPr>
        <w:t>。</w:t>
      </w:r>
    </w:p>
    <w:p w14:paraId="76A28F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Cs/>
          <w:color w:val="auto"/>
          <w:spacing w:val="0"/>
          <w:w w:val="100"/>
          <w:kern w:val="0"/>
          <w:sz w:val="24"/>
          <w:szCs w:val="24"/>
          <w:highlight w:val="none"/>
          <w:lang w:val="en-US" w:eastAsia="zh-CN"/>
        </w:rPr>
      </w:pPr>
      <w:r>
        <w:rPr>
          <w:rFonts w:hint="eastAsia" w:ascii="宋体" w:hAnsi="宋体" w:eastAsia="宋体" w:cs="宋体"/>
          <w:bCs/>
          <w:color w:val="auto"/>
          <w:spacing w:val="0"/>
          <w:w w:val="100"/>
          <w:kern w:val="0"/>
          <w:sz w:val="24"/>
          <w:szCs w:val="24"/>
          <w:highlight w:val="none"/>
          <w:lang w:val="en-US" w:eastAsia="zh-CN"/>
        </w:rPr>
        <w:t>2.中标供应商以</w:t>
      </w:r>
      <w:r>
        <w:rPr>
          <w:rFonts w:hint="eastAsia" w:ascii="宋体" w:hAnsi="宋体" w:eastAsia="宋体" w:cs="宋体"/>
          <w:b/>
          <w:bCs w:val="0"/>
          <w:color w:val="auto"/>
          <w:spacing w:val="0"/>
          <w:w w:val="100"/>
          <w:kern w:val="0"/>
          <w:sz w:val="24"/>
          <w:szCs w:val="24"/>
          <w:highlight w:val="none"/>
          <w:u w:val="single"/>
          <w:lang w:val="en-US" w:eastAsia="zh-CN"/>
        </w:rPr>
        <w:t>银行转账</w:t>
      </w:r>
      <w:r>
        <w:rPr>
          <w:rFonts w:hint="eastAsia" w:ascii="宋体" w:hAnsi="宋体" w:eastAsia="宋体" w:cs="宋体"/>
          <w:bCs/>
          <w:color w:val="auto"/>
          <w:spacing w:val="0"/>
          <w:w w:val="100"/>
          <w:kern w:val="0"/>
          <w:sz w:val="24"/>
          <w:szCs w:val="24"/>
          <w:highlight w:val="none"/>
          <w:lang w:val="en-US" w:eastAsia="zh-CN"/>
        </w:rPr>
        <w:t>的形式缴纳履约保证金。</w:t>
      </w:r>
    </w:p>
    <w:p w14:paraId="1A8E7F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default" w:ascii="宋体" w:hAnsi="宋体" w:eastAsia="宋体" w:cs="宋体"/>
          <w:b w:val="0"/>
          <w:bCs/>
          <w:color w:val="auto"/>
          <w:spacing w:val="0"/>
          <w:w w:val="100"/>
          <w:kern w:val="0"/>
          <w:sz w:val="24"/>
          <w:szCs w:val="24"/>
          <w:highlight w:val="none"/>
          <w:lang w:val="en-US" w:eastAsia="zh-CN"/>
        </w:rPr>
      </w:pPr>
      <w:r>
        <w:rPr>
          <w:rFonts w:hint="eastAsia" w:ascii="宋体" w:hAnsi="宋体" w:eastAsia="宋体" w:cs="宋体"/>
          <w:b w:val="0"/>
          <w:bCs/>
          <w:color w:val="auto"/>
          <w:spacing w:val="0"/>
          <w:w w:val="100"/>
          <w:kern w:val="0"/>
          <w:sz w:val="24"/>
          <w:szCs w:val="24"/>
          <w:highlight w:val="none"/>
          <w:lang w:val="en-US" w:eastAsia="zh-CN"/>
        </w:rPr>
        <w:t>3.银行账户信息：</w:t>
      </w:r>
    </w:p>
    <w:p w14:paraId="1501C678">
      <w:pPr>
        <w:keepNext w:val="0"/>
        <w:keepLines w:val="0"/>
        <w:pageBreakBefore w:val="0"/>
        <w:widowControl w:val="0"/>
        <w:kinsoku/>
        <w:wordWrap/>
        <w:overflowPunct/>
        <w:topLinePunct w:val="0"/>
        <w:autoSpaceDE/>
        <w:autoSpaceDN/>
        <w:bidi w:val="0"/>
        <w:adjustRightInd w:val="0"/>
        <w:snapToGrid w:val="0"/>
        <w:spacing w:line="360" w:lineRule="auto"/>
        <w:ind w:firstLine="1096" w:firstLineChars="455"/>
        <w:textAlignment w:val="baseline"/>
        <w:outlineLvl w:val="9"/>
        <w:rPr>
          <w:rFonts w:hint="eastAsia" w:ascii="宋体" w:hAnsi="宋体" w:eastAsia="宋体" w:cs="宋体"/>
          <w:b/>
          <w:bCs w:val="0"/>
          <w:color w:val="auto"/>
          <w:spacing w:val="0"/>
          <w:w w:val="100"/>
          <w:kern w:val="0"/>
          <w:sz w:val="24"/>
          <w:szCs w:val="24"/>
          <w:highlight w:val="none"/>
          <w:u w:val="single"/>
          <w:lang w:val="en-US" w:eastAsia="zh-CN"/>
        </w:rPr>
      </w:pPr>
      <w:r>
        <w:rPr>
          <w:rFonts w:hint="eastAsia" w:ascii="宋体" w:hAnsi="宋体" w:eastAsia="宋体" w:cs="宋体"/>
          <w:b/>
          <w:bCs w:val="0"/>
          <w:color w:val="auto"/>
          <w:spacing w:val="0"/>
          <w:w w:val="100"/>
          <w:kern w:val="0"/>
          <w:sz w:val="24"/>
          <w:szCs w:val="24"/>
          <w:highlight w:val="none"/>
          <w:u w:val="single"/>
          <w:lang w:val="en-US" w:eastAsia="zh-CN"/>
        </w:rPr>
        <w:t>公司名称：江苏大晟文化产业发展有限公司</w:t>
      </w:r>
    </w:p>
    <w:p w14:paraId="2364C32C">
      <w:pPr>
        <w:keepNext w:val="0"/>
        <w:keepLines w:val="0"/>
        <w:pageBreakBefore w:val="0"/>
        <w:widowControl w:val="0"/>
        <w:kinsoku/>
        <w:wordWrap/>
        <w:overflowPunct/>
        <w:topLinePunct w:val="0"/>
        <w:autoSpaceDE/>
        <w:autoSpaceDN/>
        <w:bidi w:val="0"/>
        <w:adjustRightInd w:val="0"/>
        <w:snapToGrid w:val="0"/>
        <w:spacing w:line="360" w:lineRule="auto"/>
        <w:ind w:firstLine="1096" w:firstLineChars="455"/>
        <w:textAlignment w:val="baseline"/>
        <w:outlineLvl w:val="9"/>
        <w:rPr>
          <w:rFonts w:hint="eastAsia" w:ascii="宋体" w:hAnsi="宋体" w:eastAsia="宋体" w:cs="宋体"/>
          <w:b/>
          <w:bCs w:val="0"/>
          <w:color w:val="auto"/>
          <w:spacing w:val="0"/>
          <w:w w:val="100"/>
          <w:kern w:val="0"/>
          <w:sz w:val="24"/>
          <w:szCs w:val="24"/>
          <w:highlight w:val="none"/>
          <w:u w:val="single"/>
          <w:lang w:val="en-US" w:eastAsia="zh-CN"/>
        </w:rPr>
      </w:pPr>
      <w:r>
        <w:rPr>
          <w:rFonts w:hint="eastAsia" w:ascii="宋体" w:hAnsi="宋体" w:eastAsia="宋体" w:cs="宋体"/>
          <w:b/>
          <w:bCs w:val="0"/>
          <w:color w:val="auto"/>
          <w:spacing w:val="0"/>
          <w:w w:val="100"/>
          <w:kern w:val="0"/>
          <w:sz w:val="24"/>
          <w:szCs w:val="24"/>
          <w:highlight w:val="none"/>
          <w:u w:val="single"/>
          <w:lang w:val="en-US" w:eastAsia="zh-CN"/>
        </w:rPr>
        <w:t>开户行：中国邮政储蓄银行股份有限公司海安市宁海路支行</w:t>
      </w:r>
    </w:p>
    <w:p w14:paraId="67835CB6">
      <w:pPr>
        <w:keepNext w:val="0"/>
        <w:keepLines w:val="0"/>
        <w:pageBreakBefore w:val="0"/>
        <w:widowControl w:val="0"/>
        <w:kinsoku/>
        <w:wordWrap/>
        <w:overflowPunct/>
        <w:topLinePunct w:val="0"/>
        <w:autoSpaceDE/>
        <w:autoSpaceDN/>
        <w:bidi w:val="0"/>
        <w:adjustRightInd w:val="0"/>
        <w:snapToGrid w:val="0"/>
        <w:spacing w:line="360" w:lineRule="auto"/>
        <w:ind w:firstLine="1096" w:firstLineChars="455"/>
        <w:textAlignment w:val="baseline"/>
        <w:outlineLvl w:val="9"/>
        <w:rPr>
          <w:rFonts w:hint="eastAsia" w:ascii="宋体" w:hAnsi="宋体" w:eastAsia="宋体" w:cs="宋体"/>
          <w:b/>
          <w:bCs w:val="0"/>
          <w:color w:val="auto"/>
          <w:spacing w:val="0"/>
          <w:w w:val="100"/>
          <w:kern w:val="0"/>
          <w:sz w:val="24"/>
          <w:szCs w:val="24"/>
          <w:highlight w:val="none"/>
          <w:u w:val="single"/>
          <w:lang w:val="en-US" w:eastAsia="zh-CN"/>
        </w:rPr>
      </w:pPr>
      <w:r>
        <w:rPr>
          <w:rFonts w:hint="eastAsia" w:ascii="宋体" w:hAnsi="宋体" w:eastAsia="宋体" w:cs="宋体"/>
          <w:b/>
          <w:bCs w:val="0"/>
          <w:color w:val="auto"/>
          <w:spacing w:val="0"/>
          <w:w w:val="100"/>
          <w:kern w:val="0"/>
          <w:sz w:val="24"/>
          <w:szCs w:val="24"/>
          <w:highlight w:val="none"/>
          <w:u w:val="single"/>
          <w:lang w:val="en-US" w:eastAsia="zh-CN"/>
        </w:rPr>
        <w:t>账号：932066013187988888</w:t>
      </w:r>
    </w:p>
    <w:p w14:paraId="3DD3AA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Cs/>
          <w:color w:val="auto"/>
          <w:spacing w:val="0"/>
          <w:w w:val="100"/>
          <w:kern w:val="0"/>
          <w:sz w:val="24"/>
          <w:szCs w:val="24"/>
          <w:highlight w:val="none"/>
          <w:lang w:val="en-US" w:eastAsia="zh-CN"/>
        </w:rPr>
      </w:pPr>
      <w:r>
        <w:rPr>
          <w:rFonts w:hint="eastAsia" w:ascii="宋体" w:hAnsi="宋体" w:eastAsia="宋体" w:cs="宋体"/>
          <w:bCs/>
          <w:color w:val="auto"/>
          <w:spacing w:val="0"/>
          <w:w w:val="100"/>
          <w:kern w:val="0"/>
          <w:sz w:val="24"/>
          <w:szCs w:val="24"/>
          <w:highlight w:val="none"/>
          <w:lang w:val="en-US" w:eastAsia="zh-CN"/>
        </w:rPr>
        <w:t>4.中标供应商在成交通知书发出之日起</w:t>
      </w:r>
      <w:r>
        <w:rPr>
          <w:rFonts w:hint="eastAsia" w:ascii="宋体" w:hAnsi="宋体" w:cs="宋体"/>
          <w:bCs/>
          <w:color w:val="auto"/>
          <w:spacing w:val="0"/>
          <w:w w:val="100"/>
          <w:kern w:val="0"/>
          <w:sz w:val="24"/>
          <w:szCs w:val="24"/>
          <w:highlight w:val="none"/>
          <w:lang w:val="en-US" w:eastAsia="zh-CN"/>
        </w:rPr>
        <w:t>7</w:t>
      </w:r>
      <w:r>
        <w:rPr>
          <w:rFonts w:hint="eastAsia" w:ascii="宋体" w:hAnsi="宋体" w:eastAsia="宋体" w:cs="宋体"/>
          <w:bCs/>
          <w:color w:val="auto"/>
          <w:spacing w:val="0"/>
          <w:w w:val="100"/>
          <w:kern w:val="0"/>
          <w:sz w:val="24"/>
          <w:szCs w:val="24"/>
          <w:highlight w:val="none"/>
          <w:lang w:val="en-US" w:eastAsia="zh-CN"/>
        </w:rPr>
        <w:t>日内，凭“中标通知书”和“履约保证金”的缴纳凭证，与采购单位签订合同，超期或未有协商，则视为自动放弃中标资格。</w:t>
      </w:r>
    </w:p>
    <w:p w14:paraId="610AA8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bCs/>
          <w:color w:val="auto"/>
          <w:spacing w:val="0"/>
          <w:w w:val="100"/>
          <w:kern w:val="0"/>
          <w:sz w:val="24"/>
          <w:szCs w:val="24"/>
          <w:highlight w:val="none"/>
          <w:lang w:val="en-US" w:eastAsia="zh-CN"/>
        </w:rPr>
      </w:pPr>
      <w:r>
        <w:rPr>
          <w:rFonts w:hint="eastAsia" w:ascii="宋体" w:hAnsi="宋体" w:eastAsia="宋体" w:cs="宋体"/>
          <w:bCs/>
          <w:color w:val="auto"/>
          <w:spacing w:val="0"/>
          <w:w w:val="100"/>
          <w:kern w:val="0"/>
          <w:sz w:val="24"/>
          <w:szCs w:val="24"/>
          <w:highlight w:val="none"/>
          <w:lang w:val="en-US" w:eastAsia="zh-CN"/>
        </w:rPr>
        <w:t>5.中标供应商在按要求保质保量的完成该项目合同并通过验收后，采购单位凭中标供应商提交的申请，一次性无息退还该合同项目的履约保证金。</w:t>
      </w:r>
    </w:p>
    <w:p w14:paraId="6EBB9618">
      <w:pPr>
        <w:adjustRightInd w:val="0"/>
        <w:snapToGrid w:val="0"/>
        <w:spacing w:line="360" w:lineRule="auto"/>
        <w:ind w:firstLine="460" w:firstLineChars="192"/>
        <w:textAlignment w:val="baseline"/>
        <w:rPr>
          <w:rFonts w:ascii="宋体" w:hAnsi="宋体" w:cs="宋体"/>
          <w:color w:val="auto"/>
          <w:kern w:val="0"/>
          <w:sz w:val="24"/>
          <w:szCs w:val="24"/>
          <w:highlight w:val="none"/>
        </w:rPr>
      </w:pPr>
      <w:r>
        <w:rPr>
          <w:rFonts w:hint="eastAsia" w:ascii="宋体" w:hAnsi="宋体" w:eastAsia="宋体" w:cs="宋体"/>
          <w:bCs/>
          <w:color w:val="auto"/>
          <w:spacing w:val="0"/>
          <w:w w:val="100"/>
          <w:kern w:val="0"/>
          <w:sz w:val="24"/>
          <w:szCs w:val="24"/>
          <w:highlight w:val="none"/>
          <w:lang w:val="en-US" w:eastAsia="zh-CN"/>
        </w:rPr>
        <w:t>6.由于中标供应商原因，在签订合同后出现不按合同履行的情况，采购单位有权将履约保证金作为违约金，全额不予退还，同时采购单位亦有权终止合同，中标供应商还须承担相应的法律赔偿责任。</w:t>
      </w:r>
    </w:p>
    <w:p w14:paraId="34A2CEA1">
      <w:pPr>
        <w:adjustRightInd w:val="0"/>
        <w:snapToGrid w:val="0"/>
        <w:spacing w:line="360" w:lineRule="auto"/>
        <w:ind w:firstLine="496" w:firstLineChars="206"/>
        <w:textAlignment w:val="baseline"/>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十一、未尽事宜</w:t>
      </w:r>
    </w:p>
    <w:p w14:paraId="37199CCD">
      <w:pPr>
        <w:adjustRightInd w:val="0"/>
        <w:snapToGrid w:val="0"/>
        <w:spacing w:line="360" w:lineRule="auto"/>
        <w:ind w:firstLine="494" w:firstLineChars="206"/>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无</w:t>
      </w:r>
    </w:p>
    <w:p w14:paraId="26B9D0A7">
      <w:pPr>
        <w:adjustRightInd w:val="0"/>
        <w:snapToGrid w:val="0"/>
        <w:spacing w:line="360" w:lineRule="auto"/>
        <w:ind w:firstLine="480" w:firstLineChars="200"/>
        <w:textAlignment w:val="baseline"/>
        <w:rPr>
          <w:rFonts w:ascii="宋体" w:hAnsi="宋体" w:cs="宋体"/>
          <w:color w:val="auto"/>
          <w:kern w:val="0"/>
          <w:sz w:val="24"/>
          <w:szCs w:val="24"/>
          <w:highlight w:val="none"/>
        </w:rPr>
      </w:pPr>
    </w:p>
    <w:p w14:paraId="7411008A">
      <w:pPr>
        <w:pStyle w:val="46"/>
        <w:adjustRightInd w:val="0"/>
        <w:snapToGrid w:val="0"/>
        <w:spacing w:after="0" w:line="360" w:lineRule="auto"/>
        <w:ind w:left="0" w:leftChars="0" w:firstLine="0" w:firstLineChars="0"/>
        <w:jc w:val="center"/>
        <w:outlineLvl w:val="0"/>
        <w:rPr>
          <w:rFonts w:ascii="宋体" w:hAnsi="宋体" w:cs="宋体"/>
          <w:color w:val="auto"/>
          <w:kern w:val="0"/>
          <w:szCs w:val="44"/>
          <w:highlight w:val="none"/>
        </w:rPr>
      </w:pPr>
      <w:r>
        <w:rPr>
          <w:rFonts w:hint="eastAsia" w:ascii="宋体" w:hAnsi="宋体" w:cs="宋体"/>
          <w:color w:val="auto"/>
          <w:kern w:val="0"/>
          <w:sz w:val="48"/>
          <w:szCs w:val="44"/>
          <w:highlight w:val="none"/>
        </w:rPr>
        <w:br w:type="page"/>
      </w:r>
      <w:bookmarkStart w:id="8" w:name="_Toc22255"/>
      <w:r>
        <w:rPr>
          <w:rFonts w:hint="eastAsia" w:ascii="宋体" w:hAnsi="宋体" w:cs="宋体"/>
          <w:b/>
          <w:color w:val="auto"/>
          <w:kern w:val="0"/>
          <w:sz w:val="32"/>
          <w:szCs w:val="36"/>
          <w:highlight w:val="none"/>
        </w:rPr>
        <w:t>第三章 项目需求</w:t>
      </w:r>
      <w:bookmarkEnd w:id="8"/>
    </w:p>
    <w:p w14:paraId="0FE17CF7">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lang w:val="zh-CN"/>
        </w:rPr>
        <w:t>请投标人在网上报名前和制作投标文件时仔细研究项目需求说明。</w:t>
      </w:r>
      <w:r>
        <w:rPr>
          <w:rFonts w:hint="eastAsia" w:ascii="宋体" w:hAnsi="宋体" w:cs="宋体"/>
          <w:color w:val="auto"/>
          <w:kern w:val="0"/>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w:t>
      </w:r>
      <w:r>
        <w:rPr>
          <w:rFonts w:hint="eastAsia" w:ascii="宋体" w:hAnsi="宋体" w:cs="宋体"/>
          <w:color w:val="auto"/>
          <w:kern w:val="0"/>
          <w:sz w:val="24"/>
          <w:szCs w:val="24"/>
          <w:highlight w:val="none"/>
        </w:rPr>
        <w:t>上明示，如不明示的视同完全响应</w:t>
      </w:r>
      <w:r>
        <w:rPr>
          <w:rFonts w:hint="eastAsia" w:ascii="宋体" w:hAnsi="宋体" w:cs="宋体"/>
          <w:color w:val="auto"/>
          <w:kern w:val="0"/>
          <w:sz w:val="24"/>
          <w:szCs w:val="24"/>
          <w:highlight w:val="none"/>
          <w:lang w:val="zh-CN"/>
        </w:rPr>
        <w:t>。</w:t>
      </w:r>
    </w:p>
    <w:p w14:paraId="59636ED9">
      <w:pPr>
        <w:adjustRightInd w:val="0"/>
        <w:snapToGrid w:val="0"/>
        <w:spacing w:line="360" w:lineRule="auto"/>
        <w:ind w:firstLine="482" w:firstLineChars="200"/>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一、项目名称</w:t>
      </w:r>
    </w:p>
    <w:p w14:paraId="414BEC57">
      <w:pPr>
        <w:adjustRightInd w:val="0"/>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海安大生鑫天地LED屏幕采购及安装项目</w:t>
      </w:r>
    </w:p>
    <w:p w14:paraId="31EDEC3B">
      <w:pPr>
        <w:pageBreakBefore w:val="0"/>
        <w:autoSpaceDE w:val="0"/>
        <w:autoSpaceDN w:val="0"/>
        <w:bidi w:val="0"/>
        <w:adjustRightInd w:val="0"/>
        <w:snapToGrid w:val="0"/>
        <w:spacing w:line="360" w:lineRule="auto"/>
        <w:ind w:firstLine="482" w:firstLineChars="200"/>
        <w:contextualSpacing/>
        <w:outlineLvl w:val="1"/>
        <w:rPr>
          <w:rFonts w:hint="eastAsia" w:ascii="宋体" w:hAnsi="宋体" w:eastAsia="宋体" w:cs="宋体"/>
          <w:b/>
          <w:color w:val="auto"/>
          <w:spacing w:val="0"/>
          <w:w w:val="100"/>
          <w:kern w:val="0"/>
          <w:sz w:val="24"/>
          <w:szCs w:val="24"/>
          <w:highlight w:val="none"/>
        </w:rPr>
      </w:pPr>
      <w:r>
        <w:rPr>
          <w:rFonts w:hint="eastAsia" w:ascii="宋体" w:hAnsi="宋体" w:cs="宋体"/>
          <w:b/>
          <w:color w:val="auto"/>
          <w:spacing w:val="0"/>
          <w:w w:val="100"/>
          <w:kern w:val="0"/>
          <w:sz w:val="24"/>
          <w:szCs w:val="24"/>
          <w:highlight w:val="none"/>
          <w:lang w:val="en-US" w:eastAsia="zh-CN"/>
        </w:rPr>
        <w:t>二</w:t>
      </w:r>
      <w:r>
        <w:rPr>
          <w:rFonts w:hint="eastAsia" w:ascii="宋体" w:hAnsi="宋体" w:eastAsia="宋体" w:cs="宋体"/>
          <w:b/>
          <w:color w:val="auto"/>
          <w:spacing w:val="0"/>
          <w:w w:val="100"/>
          <w:kern w:val="0"/>
          <w:sz w:val="24"/>
          <w:szCs w:val="24"/>
          <w:highlight w:val="none"/>
        </w:rPr>
        <w:t>、有关要求说明</w:t>
      </w:r>
    </w:p>
    <w:p w14:paraId="111A0F28">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1、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02D9F88">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en-US" w:eastAsia="zh-CN"/>
        </w:rPr>
        <w:t>2</w:t>
      </w: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lang w:val="zh-CN"/>
        </w:rPr>
        <w:t>供应商所提供的产品必须是合法的正规之产品。</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lang w:val="zh-CN"/>
        </w:rPr>
        <w:t>供应商应保证采购代理机构和招标人不受到第三方关于侵犯知识产权以及专利权、商标权或批发业设计权等的指控，任何第三方如果提出指控均与采购代理机构、招标人无关，</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lang w:val="zh-CN"/>
        </w:rPr>
        <w:t>应供应商应与第三方交涉，承担可能发生的一切法律责任、费用和后果，若招标人因此而遭致损失的，</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lang w:val="zh-CN"/>
        </w:rPr>
        <w:t>供应商应赔偿该损失。</w:t>
      </w:r>
    </w:p>
    <w:p w14:paraId="635D775F">
      <w:pPr>
        <w:pageBreakBefore w:val="0"/>
        <w:autoSpaceDE w:val="0"/>
        <w:autoSpaceDN w:val="0"/>
        <w:bidi w:val="0"/>
        <w:adjustRightInd w:val="0"/>
        <w:snapToGrid w:val="0"/>
        <w:spacing w:line="360" w:lineRule="auto"/>
        <w:ind w:firstLine="482" w:firstLineChars="200"/>
        <w:contextualSpacing/>
        <w:outlineLvl w:val="1"/>
        <w:rPr>
          <w:rFonts w:hint="eastAsia" w:ascii="宋体" w:hAnsi="宋体" w:cs="宋体"/>
          <w:b/>
          <w:bCs/>
          <w:color w:val="auto"/>
          <w:spacing w:val="0"/>
          <w:w w:val="100"/>
          <w:kern w:val="0"/>
          <w:sz w:val="24"/>
          <w:szCs w:val="24"/>
          <w:highlight w:val="none"/>
          <w:lang w:val="en-US" w:eastAsia="zh-CN"/>
        </w:rPr>
      </w:pPr>
      <w:r>
        <w:rPr>
          <w:rFonts w:hint="eastAsia" w:ascii="宋体" w:hAnsi="宋体" w:cs="宋体"/>
          <w:b/>
          <w:bCs/>
          <w:color w:val="auto"/>
          <w:spacing w:val="0"/>
          <w:w w:val="100"/>
          <w:kern w:val="0"/>
          <w:sz w:val="24"/>
          <w:szCs w:val="24"/>
          <w:highlight w:val="none"/>
          <w:lang w:val="en-US" w:eastAsia="zh-CN"/>
        </w:rPr>
        <w:t>三</w:t>
      </w:r>
      <w:r>
        <w:rPr>
          <w:rFonts w:hint="eastAsia" w:ascii="宋体" w:hAnsi="宋体" w:eastAsia="宋体" w:cs="宋体"/>
          <w:b/>
          <w:bCs/>
          <w:color w:val="auto"/>
          <w:spacing w:val="0"/>
          <w:w w:val="100"/>
          <w:kern w:val="0"/>
          <w:sz w:val="24"/>
          <w:szCs w:val="24"/>
          <w:highlight w:val="none"/>
          <w:lang w:eastAsia="zh-CN"/>
        </w:rPr>
        <w:t>、</w:t>
      </w:r>
      <w:r>
        <w:rPr>
          <w:rFonts w:hint="eastAsia" w:ascii="宋体" w:hAnsi="宋体" w:eastAsia="宋体" w:cs="宋体"/>
          <w:b/>
          <w:bCs/>
          <w:color w:val="auto"/>
          <w:spacing w:val="0"/>
          <w:w w:val="100"/>
          <w:kern w:val="0"/>
          <w:sz w:val="24"/>
          <w:szCs w:val="24"/>
          <w:highlight w:val="none"/>
        </w:rPr>
        <w:t>主要设备清单</w:t>
      </w:r>
      <w:r>
        <w:rPr>
          <w:rFonts w:hint="eastAsia" w:ascii="宋体" w:hAnsi="宋体" w:cs="宋体"/>
          <w:b/>
          <w:bCs/>
          <w:color w:val="auto"/>
          <w:spacing w:val="0"/>
          <w:w w:val="100"/>
          <w:kern w:val="0"/>
          <w:sz w:val="24"/>
          <w:szCs w:val="24"/>
          <w:highlight w:val="none"/>
          <w:lang w:val="en-US" w:eastAsia="zh-CN"/>
        </w:rPr>
        <w:t>及技术参数要求</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4"/>
        <w:gridCol w:w="3948"/>
        <w:gridCol w:w="704"/>
        <w:gridCol w:w="746"/>
        <w:gridCol w:w="1595"/>
      </w:tblGrid>
      <w:tr w14:paraId="191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vAlign w:val="center"/>
          </w:tcPr>
          <w:p w14:paraId="3BCC5AA0">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24" w:type="dxa"/>
            <w:vAlign w:val="center"/>
          </w:tcPr>
          <w:p w14:paraId="32A5A881">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3948" w:type="dxa"/>
            <w:vAlign w:val="center"/>
          </w:tcPr>
          <w:p w14:paraId="509BC83E">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技术参数要求</w:t>
            </w:r>
          </w:p>
        </w:tc>
        <w:tc>
          <w:tcPr>
            <w:tcW w:w="704" w:type="dxa"/>
            <w:vAlign w:val="center"/>
          </w:tcPr>
          <w:p w14:paraId="66DB02A4">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746" w:type="dxa"/>
            <w:vAlign w:val="center"/>
          </w:tcPr>
          <w:p w14:paraId="0D0CA052">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595" w:type="dxa"/>
            <w:vAlign w:val="center"/>
          </w:tcPr>
          <w:p w14:paraId="0D21762C">
            <w:pPr>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推荐品牌</w:t>
            </w:r>
          </w:p>
        </w:tc>
      </w:tr>
      <w:tr w14:paraId="1BE2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7683B73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24" w:type="dxa"/>
            <w:noWrap/>
            <w:vAlign w:val="center"/>
          </w:tcPr>
          <w:p w14:paraId="2132C054">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户外全彩LED屏</w:t>
            </w:r>
          </w:p>
        </w:tc>
        <w:tc>
          <w:tcPr>
            <w:tcW w:w="3948" w:type="dxa"/>
            <w:vAlign w:val="center"/>
          </w:tcPr>
          <w:p w14:paraId="01DC62BB">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显示尺寸9920mm*5600mm</w:t>
            </w:r>
          </w:p>
          <w:p w14:paraId="6F6FB496">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1.像素点间距：≤4mm；单元板分辨率：≥3200 Dots；像素构成：1R、1G、1B</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2.★刷新率：≥7680Hz，支持通过配套控制软件调节刷新率设置选项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3.整屏平整度≤0.05mm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4.白平衡亮度：0-6500cd/㎡可调，亮度调节：0-100%亮度可调，256级手动/自动调节，屏幕亮度具有随环境照度的变化任意调整功能，亮度均匀性≥99%</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5.★水平视角≥172°，垂直视角≥172°；对比度≥10000：1；峰值功耗≤492W/m²，平均功耗≤152W/m²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7.防护性能：具有防静电、防电磁干扰、防腐蚀、防霉菌、防虫、防潮、抗震动、抗雷击等功能；具有电源过压、过流、断电保护、分布上电措施、防护等级达到IP65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8.为不影响屏体周边人员的健康，要求投标人所投LED显示屏在正常工作中，显示屏1m范围内，前后左右4个位置噪音不大于1.4dB；所投LED显示屏观看舒适度需符合：“人眼视觉舒适度(VICO)1级，基本无疲劳感。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9.▲所投LED显示屏的灯管耐焊耐热：灯珠引脚无氧化,焊接正常,灯珠胶体正常,点亮正常；灯管抗静电(ESD)测试：HBM模式:ESD&gt;2000V,灯珠点亮无异常；灯管红墨水试验：纯红墨水常温浸泡24h,无渗透,灯管气密性良好。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10.▲防电击等级依据GB4943.1标准，使用基本绝缘作为基本安全防护，同时使用保护连接和保护接地作为附加安全防护，达到防电击保护I类设备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11.▲产品采用高端芯片，可智能调节正常工作与睡眠状态下的节能效果（动态节能，智能息屏），开启智能节电功能比没有开启节能55%以上。</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支持手机、平板可视化控制LED大屏，切换播放内容，定制播放计划等；支持手机添加LOGO、时间、日期、文字标语、滚动字幕、图片、视频窗口；支持分屏操作。支持任意比例拼接素材和多图层叠加；支持无线遥控、手机遥控，一键切换视频；支持与智能播控软件一键IP连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13.支持鬼影消除、首行暗亮消除、低灰偏色补偿、低灰均匀性、低灰横条纹消除、慢速开启、十字架消除、去坏点、毛毛虫消除、余辉消除、亮度缓慢变亮功能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14.为保证产品使用安全，静电电压衰减期（±1000-±100V）≤2S；摩擦起电电压|V|≤100V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15.为保证产品信息传输稳定性，辐射干扰和传导干扰，均需符合GB/T9254-2021 ClassB限值要求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16.★为了防止LED光源对人眼的伤害，LED电子显示屏产品通过TUV莱茵低蓝光认证，无视网膜蓝光危害。提供 TÜV低蓝光认证，提供证书复印件或扫描件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17.★为保证产品的绿色环保性能，对人体不产生危害，LED显示屏的设计生产活动中，所有电子元器件、组装件、相关物料和过程通过国际电工委员会质量评定体系（IECQ）标准要求，提供相关证明材料。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18.★为保证消除产品中的铅、汞、镉、六价铬、多溴联苯和多溴二苯醚，利于人体健康及环境保护（提供同时具有CNAS/ilac-MRA/CMA标识的权威第三方检测机构出具的ROHS检测报告复印件或扫描件证明）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19.★为保证所提供产品来源正规性，投标时需提供加盖制造商原厂鲜章的授权书。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20.★为保证所提供产品符合招标人的招标要求，投标时需提供由第三方权威检测机构出具带有“CNAS”、“CMA”、“ilac-MRA”标志的检测报告（提供相关证书复印件并加盖制造商公章）加以证明。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21.★为保证产品售后保障，投标时需提供加盖制造商原厂鲜章的质保函。</w:t>
            </w:r>
          </w:p>
        </w:tc>
        <w:tc>
          <w:tcPr>
            <w:tcW w:w="704" w:type="dxa"/>
            <w:vAlign w:val="center"/>
          </w:tcPr>
          <w:p w14:paraId="2371025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46" w:type="dxa"/>
            <w:vAlign w:val="center"/>
          </w:tcPr>
          <w:p w14:paraId="6932E2D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55.55 </w:t>
            </w:r>
          </w:p>
        </w:tc>
        <w:tc>
          <w:tcPr>
            <w:tcW w:w="1595" w:type="dxa"/>
            <w:vAlign w:val="center"/>
          </w:tcPr>
          <w:p w14:paraId="0A7CD4D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上海三思、三星（SAMSUNG）、强力巨彩</w:t>
            </w:r>
          </w:p>
        </w:tc>
      </w:tr>
      <w:tr w14:paraId="7BA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6658F5A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24" w:type="dxa"/>
            <w:noWrap/>
            <w:vAlign w:val="center"/>
          </w:tcPr>
          <w:p w14:paraId="10981337">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接收卡</w:t>
            </w:r>
          </w:p>
        </w:tc>
        <w:tc>
          <w:tcPr>
            <w:tcW w:w="3948" w:type="dxa"/>
            <w:vAlign w:val="center"/>
          </w:tcPr>
          <w:p w14:paraId="6C016A8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1.集成16个HUB75，无需再配转接板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2.单卡最大带载256×1024像素，最多支持32组并行数据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3.支持8bit色深视频源输入输出，单色灰阶为256，可搭配出16777216种混合色彩。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4.支持自适应帧率技术，不仅支持23.98/24/29.97/30/50/59.94/60Hz常规及非整数帧率，还可输出显示120/240Hz高帧率画面，大幅提升画面流畅度、减少拖影。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5.支持色温调节，提供调整色温，即饱和度调节，增强画面表现力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6.支持低亮高灰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7.支持亮色度逐点校正，能有效消除灯点色差，保证整屏的颜色亮度的均匀性和一致性，提升整体显示效果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8.支持箱体标定和快速标序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9.支持画面旋转，单个箱体画面以90°/180°/270°角度进行旋转，配合部分主控可实现单箱体画面任意角度旋转显示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10.支持数据偏移，支持误码侦测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11.支持环路备份，支持固件备份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12.★为保证所提供产品来源正规，投标时需提供加盖制造商原厂鲜章的授权书、质保函、第三方检测报告。</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13.★8bit 精度的色度，亮度一体化逐点校正，能有效消除灯点色差，保证整屏的颜色亮度的均匀性和一致性，提升整体显示效果。需提供具有CMA、CNAS、ilac-MRA认证标识的第三方厂家检测报告，并加盖供应商公章；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14.★检测接收卡之间数据传输质量和误码情况，可以方便快捷地识别出硬件连接异常的箱体，便于维护，需提供具有CMA、CNAS、ilac-MRA认证标识的第三方厂家检测报告，并加盖供应商公章；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15.★支持一帧延迟，发送端到显示端延迟达到一帧，解决系统延迟导致的画面不同步问题 ，需提供具有CMA、CNAS、ilac-MRA认证标识的第三方厂家检测报告，并加盖供应商公章；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16.▲通过对伽马表算法的优化，使得显示屏在降低亮度时能保持灰阶的完整无损失、完美显示，呈现低亮度高灰阶的显示效果；需提供具有CMA、CNAS、ilac-MRA认证标识的第三方厂家检测报告，并加盖供应商公章；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17.▲、为使画面显示效果更加完美，保持整屏一致性，控制系统具有修缝、十字修复功能，并提供供应商盖鲜章的LED显示屏十字线修复软件著作权证书及LED显示屏专业修缝软件著作证书两种证明文件。</w:t>
            </w:r>
          </w:p>
        </w:tc>
        <w:tc>
          <w:tcPr>
            <w:tcW w:w="704" w:type="dxa"/>
            <w:vAlign w:val="center"/>
          </w:tcPr>
          <w:p w14:paraId="7244031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746" w:type="dxa"/>
            <w:noWrap/>
            <w:vAlign w:val="center"/>
          </w:tcPr>
          <w:p w14:paraId="3C68935E">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1595" w:type="dxa"/>
            <w:vAlign w:val="center"/>
          </w:tcPr>
          <w:p w14:paraId="5DA3B0BC">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上海三思、三星（SAMSUNG）、卡莱特</w:t>
            </w:r>
          </w:p>
        </w:tc>
      </w:tr>
      <w:tr w14:paraId="1FAA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471A733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4" w:type="dxa"/>
            <w:noWrap/>
            <w:vAlign w:val="center"/>
          </w:tcPr>
          <w:p w14:paraId="67E5F030">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视频处理器</w:t>
            </w:r>
          </w:p>
        </w:tc>
        <w:tc>
          <w:tcPr>
            <w:tcW w:w="3948" w:type="dxa"/>
            <w:vAlign w:val="center"/>
          </w:tcPr>
          <w:p w14:paraId="77A3AAC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1.最大4096X2160@60Hz输入分辨率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2.最大带载524万像素，8路千兆网口输出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3.最宽16384像素点或最高8192像素点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4.支持6路信号输入: 1xHDMI2.0，1xDP1.2，4xHDMI1.4</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5.支持视频同步锁相技术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6.支持1路独立音频输入，1路独立音频输出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7.支持6画面显示，位置、大小可自由调节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8.支持视频信号任意切换，裁剪，拼接，缩放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9.支持低亮高灰，能有效地保持低亮下灰阶的完整显示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10.支持LAN口控制，支持手机端APP控制</w:t>
            </w:r>
            <w:r>
              <w:rPr>
                <w:rFonts w:hint="eastAsia" w:ascii="宋体" w:hAnsi="宋体" w:eastAsia="宋体" w:cs="宋体"/>
                <w:color w:val="auto"/>
                <w:sz w:val="24"/>
                <w:szCs w:val="24"/>
                <w:highlight w:val="none"/>
              </w:rPr>
              <w:br w:type="textWrapping"/>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11.确保产品质量可靠，提供厂家3C认证证书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设备直接通过USB2.0级联，级联数据下发发送速率最高可达60Mb/s，最多支持64台同时调节亮度、色温、设备之间同步性，符合大型高标准活动现场低延时要求；配合外设级联最大带载宽度可达1048576像素点，最高可到524288像素点；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★13.为了保证HDMI或者DVI传输的高清晰信号不会被非法录制，设备具备HDCP1.4技术；需提供具有CMA、CNAS、ilac-MRA认证标识的第三方厂家检测报告，并加盖供应商公章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支持自动倍频、2倍频、3倍频，采用独特的倍频算法，针对视频源信号小于30hz可启用2倍频，小于20hz可启用3倍频，可以将输入信号转成60Hz信号输出，提高画面显示效果，信号最高帧率可达100Hz；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★15.支持屏幕除湿功能，通过自定义设置预热屏幕减少屏幕水汽，可以减少死灯、短路、暗亮等问题，延长显示屏使用寿命；需提供具有CMA、CNAS、ilac-MRA认证标识的第三方厂家检测报告，并加盖供应商公章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★16.为确保产品控制显示效果，需提供LED大屏幕播放控制软件和LED大屏幕专业校正软件著作权证书，并加盖供应商公章</w:t>
            </w:r>
          </w:p>
        </w:tc>
        <w:tc>
          <w:tcPr>
            <w:tcW w:w="704" w:type="dxa"/>
            <w:vAlign w:val="center"/>
          </w:tcPr>
          <w:p w14:paraId="3F6EC33E">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vAlign w:val="center"/>
          </w:tcPr>
          <w:p w14:paraId="1749021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74373A2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上海三思、三星（SAMSUNG）、卡莱特</w:t>
            </w:r>
          </w:p>
        </w:tc>
      </w:tr>
      <w:tr w14:paraId="25D9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39779A56">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24" w:type="dxa"/>
            <w:noWrap/>
            <w:vAlign w:val="center"/>
          </w:tcPr>
          <w:p w14:paraId="713899F0">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联网播放器</w:t>
            </w:r>
          </w:p>
        </w:tc>
        <w:tc>
          <w:tcPr>
            <w:tcW w:w="3948" w:type="dxa"/>
            <w:vAlign w:val="center"/>
          </w:tcPr>
          <w:p w14:paraId="1B2E6FE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1.支持1路HDMI输出，最大3840X2160@60Hz分辨率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2.支持1路独立音频输出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3.支持云分级管理和多角色节目发布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4.处理性能强大，支持H.265 4K高清视频硬解码播放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5.支持U盘即插即播，U盘更新播放节目列表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6.支持多节目页播放，最多32个节目页面数量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7.支持丰富的媒体素材，如图片、视频、文本、时钟等等，支持视频、图片缩放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8.支持多窗口播放和叠加，可自由设定窗口大小和位置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9.支持多种控制平台的控制，LED精灵，手机、平板电脑APP控制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10.支持WiFi 2.4G频段、WiFi热点模式或WiFi客户端模式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11.支持LAN口控制，支持DHCP模式和静态模式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12.4G通讯，支持4G网络（选配），GPS定位（选配）</w:t>
            </w:r>
            <w:r>
              <w:rPr>
                <w:rFonts w:hint="eastAsia" w:ascii="宋体" w:hAnsi="宋体" w:eastAsia="宋体" w:cs="宋体"/>
                <w:color w:val="auto"/>
                <w:sz w:val="24"/>
                <w:szCs w:val="24"/>
                <w:highlight w:val="none"/>
              </w:rPr>
              <w:br w:type="textWrapping"/>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rPr>
              <w:t>13.提供json，modbus等各种协议接口，可以基于设备做二次开发，也可以基于服务器做二次开发，满足客户二次开发需求；需提供具有CMA、CNAS、ilac-MRA认证标识的第三方厂家检测报告，并加盖供应商公章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rPr>
              <w:t>14.在线时长统计，通过云服务器，可以查看播放盒指定时段内累计在线时长和关开机次数；需提供具有CMA、CNAS、ilac-MRA认证标识的第三方厂家检测报告，并加盖供应商公章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★15.支持多台设备画面完全同步；支持远程查看播放内容；需提供具有CMA、CNAS、ilac-MRA认证标识的第三方厂家检测报告，并加盖供应商公章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★16.网警功能，通过云服务器，实现全部设备一键黑屏功能；需提供具有CMA、CNAS、ilac-MRA认证标识的第三方厂家检测报告，并加盖供应商公章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★17.云发布服务器安全可靠，AES加密服务、防网络DDOS攻击、WFA防火墙、HTTPS加密通道；需提供具有CMA、CNAS、ilac-MRA认证标识的第三方厂家检测报告，并加盖供应商公章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★18.为保证网络数据传输的安全性，云平台控制软件需提供供应商中华人民共和国公安部信息系统安全等级保护备案证明盖公章文件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★19.需提供交通信息情报板联网播放控制软件著作权证书，并加盖供应商公章</w:t>
            </w:r>
          </w:p>
        </w:tc>
        <w:tc>
          <w:tcPr>
            <w:tcW w:w="704" w:type="dxa"/>
            <w:vAlign w:val="center"/>
          </w:tcPr>
          <w:p w14:paraId="6F8F5BE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noWrap/>
            <w:vAlign w:val="center"/>
          </w:tcPr>
          <w:p w14:paraId="4A48492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045DBFA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上海三思、三星（SAMSUNG）、卡莱特</w:t>
            </w:r>
          </w:p>
        </w:tc>
      </w:tr>
      <w:tr w14:paraId="157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1754147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24" w:type="dxa"/>
            <w:noWrap/>
            <w:vAlign w:val="center"/>
          </w:tcPr>
          <w:p w14:paraId="79D80D4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4K服务器</w:t>
            </w:r>
          </w:p>
        </w:tc>
        <w:tc>
          <w:tcPr>
            <w:tcW w:w="3948" w:type="dxa"/>
            <w:vAlign w:val="center"/>
          </w:tcPr>
          <w:p w14:paraId="0CED346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不低于以下配置：</w:t>
            </w:r>
          </w:p>
          <w:p w14:paraId="5A31F14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i5-14500 16G 1T SSD 4G独显</w:t>
            </w:r>
          </w:p>
        </w:tc>
        <w:tc>
          <w:tcPr>
            <w:tcW w:w="704" w:type="dxa"/>
            <w:vAlign w:val="center"/>
          </w:tcPr>
          <w:p w14:paraId="0D6AEBE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noWrap/>
            <w:vAlign w:val="center"/>
          </w:tcPr>
          <w:p w14:paraId="3653C80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31C902F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联想、戴尔、飞利浦</w:t>
            </w:r>
          </w:p>
        </w:tc>
      </w:tr>
      <w:tr w14:paraId="0FCB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6A87E952">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24" w:type="dxa"/>
            <w:noWrap/>
            <w:vAlign w:val="center"/>
          </w:tcPr>
          <w:p w14:paraId="6BC71476">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4K显示器</w:t>
            </w:r>
          </w:p>
        </w:tc>
        <w:tc>
          <w:tcPr>
            <w:tcW w:w="3948" w:type="dxa"/>
            <w:vAlign w:val="center"/>
          </w:tcPr>
          <w:p w14:paraId="1D034A63">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27”，分辨率3840*2160，屏幕刷新率60HZ</w:t>
            </w:r>
          </w:p>
        </w:tc>
        <w:tc>
          <w:tcPr>
            <w:tcW w:w="704" w:type="dxa"/>
            <w:vAlign w:val="center"/>
          </w:tcPr>
          <w:p w14:paraId="3C2A880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noWrap/>
            <w:vAlign w:val="center"/>
          </w:tcPr>
          <w:p w14:paraId="7BE7400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3376C31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联想、戴尔、飞利浦</w:t>
            </w:r>
          </w:p>
        </w:tc>
      </w:tr>
      <w:tr w14:paraId="3703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15157FEB">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024" w:type="dxa"/>
            <w:noWrap/>
            <w:vAlign w:val="center"/>
          </w:tcPr>
          <w:p w14:paraId="48B4C0E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挂壁空调</w:t>
            </w:r>
          </w:p>
        </w:tc>
        <w:tc>
          <w:tcPr>
            <w:tcW w:w="3948" w:type="dxa"/>
            <w:vAlign w:val="center"/>
          </w:tcPr>
          <w:p w14:paraId="17C89EA0">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1.5P</w:t>
            </w:r>
          </w:p>
        </w:tc>
        <w:tc>
          <w:tcPr>
            <w:tcW w:w="704" w:type="dxa"/>
            <w:vAlign w:val="center"/>
          </w:tcPr>
          <w:p w14:paraId="5DC7DF4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noWrap/>
            <w:vAlign w:val="center"/>
          </w:tcPr>
          <w:p w14:paraId="55987DCB">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95" w:type="dxa"/>
            <w:vAlign w:val="center"/>
          </w:tcPr>
          <w:p w14:paraId="7D646DD7">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美的、海尔、格力</w:t>
            </w:r>
          </w:p>
        </w:tc>
      </w:tr>
      <w:tr w14:paraId="2A4D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5A1FE156">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024" w:type="dxa"/>
            <w:vAlign w:val="center"/>
          </w:tcPr>
          <w:p w14:paraId="26FB7FD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双立柱显示屏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钢架结构</w:t>
            </w:r>
          </w:p>
        </w:tc>
        <w:tc>
          <w:tcPr>
            <w:tcW w:w="3948" w:type="dxa"/>
            <w:vAlign w:val="center"/>
          </w:tcPr>
          <w:p w14:paraId="07F426A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1基础采用c30标号混凝土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2主体钢架构采用热镀锌方管，壁厚不低于2.75，检修通道采用20*40*1.0镀锌方管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3立柱采用直径420*8螺旋管制作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4简易箱体采用1.2镀锌板焊接工艺制作，以及黑色磨砂喷涂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5边框采用4毫米铝塑板21丝制作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6背后封板采用5公分防火夹芯板制作</w:t>
            </w:r>
          </w:p>
        </w:tc>
        <w:tc>
          <w:tcPr>
            <w:tcW w:w="704" w:type="dxa"/>
            <w:vAlign w:val="center"/>
          </w:tcPr>
          <w:p w14:paraId="60D180D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46" w:type="dxa"/>
            <w:vAlign w:val="center"/>
          </w:tcPr>
          <w:p w14:paraId="5C93C47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57.11 </w:t>
            </w:r>
          </w:p>
        </w:tc>
        <w:tc>
          <w:tcPr>
            <w:tcW w:w="1595" w:type="dxa"/>
            <w:vAlign w:val="center"/>
          </w:tcPr>
          <w:p w14:paraId="3FEC0A3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国标定制</w:t>
            </w:r>
          </w:p>
        </w:tc>
      </w:tr>
      <w:tr w14:paraId="3293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3595AC6C">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024" w:type="dxa"/>
            <w:noWrap/>
            <w:vAlign w:val="center"/>
          </w:tcPr>
          <w:p w14:paraId="2C13622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w:t>
            </w:r>
          </w:p>
        </w:tc>
        <w:tc>
          <w:tcPr>
            <w:tcW w:w="3948" w:type="dxa"/>
            <w:vAlign w:val="center"/>
          </w:tcPr>
          <w:p w14:paraId="7D62AC4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备用模组10张，电源6块</w:t>
            </w:r>
          </w:p>
        </w:tc>
        <w:tc>
          <w:tcPr>
            <w:tcW w:w="704" w:type="dxa"/>
            <w:vAlign w:val="center"/>
          </w:tcPr>
          <w:p w14:paraId="38EB026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746" w:type="dxa"/>
            <w:vAlign w:val="center"/>
          </w:tcPr>
          <w:p w14:paraId="2857ABC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7C03A7B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上海三思、三星（SAMSUNG）、强力巨彩</w:t>
            </w:r>
          </w:p>
        </w:tc>
      </w:tr>
      <w:tr w14:paraId="5A54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1B65B239">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024" w:type="dxa"/>
            <w:noWrap/>
            <w:vAlign w:val="center"/>
          </w:tcPr>
          <w:p w14:paraId="79E5F22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LED屏质保</w:t>
            </w:r>
          </w:p>
        </w:tc>
        <w:tc>
          <w:tcPr>
            <w:tcW w:w="3948" w:type="dxa"/>
            <w:vAlign w:val="center"/>
          </w:tcPr>
          <w:p w14:paraId="3C53715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w:t>
            </w:r>
          </w:p>
        </w:tc>
        <w:tc>
          <w:tcPr>
            <w:tcW w:w="704" w:type="dxa"/>
            <w:vAlign w:val="center"/>
          </w:tcPr>
          <w:p w14:paraId="632DB6C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746" w:type="dxa"/>
            <w:vAlign w:val="center"/>
          </w:tcPr>
          <w:p w14:paraId="0DA2E5D4">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543AC817">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上海三思、三星（SAMSUNG）、强力巨彩</w:t>
            </w:r>
          </w:p>
        </w:tc>
      </w:tr>
      <w:tr w14:paraId="07D7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47B952D1">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024" w:type="dxa"/>
            <w:vAlign w:val="center"/>
          </w:tcPr>
          <w:p w14:paraId="6BA205B8">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PLC配电柜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(带时控功能)</w:t>
            </w:r>
          </w:p>
        </w:tc>
        <w:tc>
          <w:tcPr>
            <w:tcW w:w="3948" w:type="dxa"/>
            <w:vAlign w:val="center"/>
          </w:tcPr>
          <w:p w14:paraId="0F13C9D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支持远程控制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80KW-15路输出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配套；时控功能、户外避雷器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智能配电控制系统，分步式上电，分步式断电</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德力西元器件</w:t>
            </w:r>
          </w:p>
        </w:tc>
        <w:tc>
          <w:tcPr>
            <w:tcW w:w="704" w:type="dxa"/>
            <w:vAlign w:val="center"/>
          </w:tcPr>
          <w:p w14:paraId="1A18134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vAlign w:val="center"/>
          </w:tcPr>
          <w:p w14:paraId="69601FA8">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3772B6E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w:t>
            </w:r>
          </w:p>
        </w:tc>
      </w:tr>
      <w:tr w14:paraId="0E24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1B48C430">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024" w:type="dxa"/>
            <w:vAlign w:val="center"/>
          </w:tcPr>
          <w:p w14:paraId="5BC6A48E">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防水高保真音柱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扬声器120W</w:t>
            </w:r>
          </w:p>
        </w:tc>
        <w:tc>
          <w:tcPr>
            <w:tcW w:w="3948" w:type="dxa"/>
            <w:vAlign w:val="center"/>
          </w:tcPr>
          <w:p w14:paraId="46DE5E5D">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1.额定功率：120W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2.额定电压：110V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3.频响范围：70-15KHz</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4.喇叭单元.6"×6+1内磁号角高音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5.尺寸.206×140×1185mm</w:t>
            </w:r>
          </w:p>
        </w:tc>
        <w:tc>
          <w:tcPr>
            <w:tcW w:w="704" w:type="dxa"/>
            <w:vAlign w:val="center"/>
          </w:tcPr>
          <w:p w14:paraId="13106DC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746" w:type="dxa"/>
            <w:vAlign w:val="center"/>
          </w:tcPr>
          <w:p w14:paraId="4197F36B">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95" w:type="dxa"/>
            <w:vAlign w:val="center"/>
          </w:tcPr>
          <w:p w14:paraId="538FD89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HGK、DSPPA、Hushan</w:t>
            </w:r>
          </w:p>
        </w:tc>
      </w:tr>
      <w:tr w14:paraId="5AEF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77C1B0F3">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024" w:type="dxa"/>
            <w:noWrap/>
            <w:vAlign w:val="center"/>
          </w:tcPr>
          <w:p w14:paraId="48A6DF2C">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合并式功放</w:t>
            </w:r>
          </w:p>
        </w:tc>
        <w:tc>
          <w:tcPr>
            <w:tcW w:w="3948" w:type="dxa"/>
            <w:vAlign w:val="center"/>
          </w:tcPr>
          <w:p w14:paraId="592E60FC">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带前置放大的专业广播功率放大器；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为广播系统提供区域功率放大，适用于大、中、小型场所的广播扩声。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 3通道麦克风TRS端子输入，2通道AUX输入，1通道EMC输入；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2.2通道MIC Line输入（MIC2/MIC3通道的线路输入，灵敏度为775mv）；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内置优先功能：MIC1话筒、EMC报警，两种信号可通过拨码开关自由设置任意一路信号优先级，方便使用；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 MIC1-3，AUX1-2音量调节旋钮，总音量调节旋钮和高音、低音音调调节旋钮；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5.设备具有良好的直流输出、过载、过温、短路等保护电路；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6.2种功率输出方式：定压输出100V、70V和定阻输出4～16Ω。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1.额定功率：1500W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2.整机功耗：2250W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3.输出方式：4～16Ω定阻输出、70V/100V定压输出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4.输入灵敏度&amp;输入阻抗：MIC1，2，3:5mV/600Ω，不平衡TRS端子输入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MIC2，3 Line输入:775mV/10KΩ，不平衡RCA端子输入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AUX1，2:350mV/10KΩ，不平衡RCA端子输入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EMC:775mV/10KΩ，不平衡RCA端子输入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 输出灵敏度&amp;输出源阻抗：MIXOUT:1000mV/470Ω，不平衡RCA端子输出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过载源电动势：MIC1，2，3:＞12dB，不平衡TRS端子输入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MIC2，3 Line输入:＞12dB，不平衡RCA端子输入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AUX1，2:＞20dB,不平衡RCA端子输入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EMC:＞12dB，不平衡RCA端子输入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 音调：低音:±10dB at 100Hz；高音:±10dB at 10KHz</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 频率响应：50～16KHz(+1dB，-3dB)</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 信噪比：MIC1，2，3:66dB;AUX1，2:80dB</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 总谐波失真：1KHz时0.5%，1/3输出功率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 默音功能：优先级0-30dB可调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12.通道串音衰减：≤50dB</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 散热：由右往左强制风冷，散热器温度55度时启动内置风扇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 保护电路：直流输出、过载、过温、短路保护电路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15.材质：黑色铝面板，SPCC冷轧板材质机箱</w:t>
            </w:r>
          </w:p>
        </w:tc>
        <w:tc>
          <w:tcPr>
            <w:tcW w:w="704" w:type="dxa"/>
            <w:vAlign w:val="center"/>
          </w:tcPr>
          <w:p w14:paraId="1483436F">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vAlign w:val="center"/>
          </w:tcPr>
          <w:p w14:paraId="185BBDC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398D4231">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HGK、DSPPA、Hushan</w:t>
            </w:r>
          </w:p>
        </w:tc>
      </w:tr>
      <w:tr w14:paraId="0E1D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02BEF372">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024" w:type="dxa"/>
            <w:noWrap/>
            <w:vAlign w:val="center"/>
          </w:tcPr>
          <w:p w14:paraId="3640F89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机柜</w:t>
            </w:r>
          </w:p>
        </w:tc>
        <w:tc>
          <w:tcPr>
            <w:tcW w:w="3948" w:type="dxa"/>
            <w:vAlign w:val="center"/>
          </w:tcPr>
          <w:p w14:paraId="63561246">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22U  1200mm*600mm*600mm</w:t>
            </w:r>
          </w:p>
        </w:tc>
        <w:tc>
          <w:tcPr>
            <w:tcW w:w="704" w:type="dxa"/>
            <w:vAlign w:val="center"/>
          </w:tcPr>
          <w:p w14:paraId="1110A67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46" w:type="dxa"/>
            <w:vAlign w:val="center"/>
          </w:tcPr>
          <w:p w14:paraId="789D2224">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3C300E5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国产优质</w:t>
            </w:r>
          </w:p>
        </w:tc>
      </w:tr>
      <w:tr w14:paraId="1C7C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090F4097">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024" w:type="dxa"/>
            <w:vAlign w:val="center"/>
          </w:tcPr>
          <w:p w14:paraId="58D62FD7">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3.5立体声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双莲花线</w:t>
            </w:r>
          </w:p>
        </w:tc>
        <w:tc>
          <w:tcPr>
            <w:tcW w:w="3948" w:type="dxa"/>
            <w:vAlign w:val="center"/>
          </w:tcPr>
          <w:p w14:paraId="5472C9EE">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3.5立体声对双莲花连接线黑色L=1.5m</w:t>
            </w:r>
          </w:p>
        </w:tc>
        <w:tc>
          <w:tcPr>
            <w:tcW w:w="704" w:type="dxa"/>
            <w:vAlign w:val="center"/>
          </w:tcPr>
          <w:p w14:paraId="56ECEEB7">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tc>
        <w:tc>
          <w:tcPr>
            <w:tcW w:w="746" w:type="dxa"/>
            <w:vAlign w:val="center"/>
          </w:tcPr>
          <w:p w14:paraId="0779BB4A">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5" w:type="dxa"/>
            <w:vAlign w:val="center"/>
          </w:tcPr>
          <w:p w14:paraId="6931E024">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秋叶原、绿联、山泽</w:t>
            </w:r>
          </w:p>
        </w:tc>
      </w:tr>
      <w:tr w14:paraId="791E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5680A7E7">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024" w:type="dxa"/>
            <w:vAlign w:val="center"/>
          </w:tcPr>
          <w:p w14:paraId="6EC20555">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LED显示屏专用单模光纤收发器</w:t>
            </w:r>
          </w:p>
        </w:tc>
        <w:tc>
          <w:tcPr>
            <w:tcW w:w="3948" w:type="dxa"/>
            <w:vAlign w:val="center"/>
          </w:tcPr>
          <w:p w14:paraId="373A173E">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定制</w:t>
            </w:r>
          </w:p>
        </w:tc>
        <w:tc>
          <w:tcPr>
            <w:tcW w:w="704" w:type="dxa"/>
            <w:vAlign w:val="center"/>
          </w:tcPr>
          <w:p w14:paraId="0DB5A5A8">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p>
        </w:tc>
        <w:tc>
          <w:tcPr>
            <w:tcW w:w="746" w:type="dxa"/>
            <w:vAlign w:val="center"/>
          </w:tcPr>
          <w:p w14:paraId="6522C563">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95" w:type="dxa"/>
            <w:vAlign w:val="center"/>
          </w:tcPr>
          <w:p w14:paraId="05EB0C79">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国产优质</w:t>
            </w:r>
          </w:p>
        </w:tc>
      </w:tr>
      <w:tr w14:paraId="2500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765C78FA">
            <w:pP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024" w:type="dxa"/>
            <w:shd w:val="clear" w:color="auto" w:fill="auto"/>
            <w:vAlign w:val="center"/>
          </w:tcPr>
          <w:p w14:paraId="319B5E02">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户外电缆</w:t>
            </w:r>
          </w:p>
        </w:tc>
        <w:tc>
          <w:tcPr>
            <w:tcW w:w="3948" w:type="dxa"/>
            <w:shd w:val="clear" w:color="auto" w:fill="auto"/>
            <w:vAlign w:val="center"/>
          </w:tcPr>
          <w:p w14:paraId="39AB9F73">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YJV35m㎡*4+1*16m㎡五芯户外电缆线从动力电柜至显示屏配电箱</w:t>
            </w:r>
          </w:p>
        </w:tc>
        <w:tc>
          <w:tcPr>
            <w:tcW w:w="704" w:type="dxa"/>
            <w:noWrap/>
            <w:vAlign w:val="center"/>
          </w:tcPr>
          <w:p w14:paraId="5DCC8BCB">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米</w:t>
            </w:r>
          </w:p>
        </w:tc>
        <w:tc>
          <w:tcPr>
            <w:tcW w:w="746" w:type="dxa"/>
            <w:noWrap/>
            <w:vAlign w:val="center"/>
          </w:tcPr>
          <w:p w14:paraId="793A40B2">
            <w:pPr>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1595" w:type="dxa"/>
            <w:noWrap/>
            <w:vAlign w:val="center"/>
          </w:tcPr>
          <w:p w14:paraId="1B4F3664">
            <w:pPr>
              <w:spacing w:after="0" w:line="24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上海起帆、江南、远东</w:t>
            </w:r>
          </w:p>
        </w:tc>
      </w:tr>
      <w:tr w14:paraId="291C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1952AA8D">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024" w:type="dxa"/>
            <w:shd w:val="clear" w:color="auto" w:fill="auto"/>
            <w:vAlign w:val="center"/>
          </w:tcPr>
          <w:p w14:paraId="4B84521D">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12芯室外成品铠装光缆</w:t>
            </w:r>
          </w:p>
        </w:tc>
        <w:tc>
          <w:tcPr>
            <w:tcW w:w="3948" w:type="dxa"/>
            <w:shd w:val="clear" w:color="auto" w:fill="auto"/>
            <w:vAlign w:val="center"/>
          </w:tcPr>
          <w:p w14:paraId="0D630D0C">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光缆布线位置：显示屏至门卫室机柜处</w:t>
            </w:r>
          </w:p>
        </w:tc>
        <w:tc>
          <w:tcPr>
            <w:tcW w:w="704" w:type="dxa"/>
            <w:noWrap/>
            <w:vAlign w:val="center"/>
          </w:tcPr>
          <w:p w14:paraId="69F72717">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746" w:type="dxa"/>
            <w:noWrap/>
            <w:vAlign w:val="center"/>
          </w:tcPr>
          <w:p w14:paraId="66ED0468">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1595" w:type="dxa"/>
            <w:noWrap/>
            <w:vAlign w:val="center"/>
          </w:tcPr>
          <w:p w14:paraId="60273A8E">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国标</w:t>
            </w:r>
          </w:p>
        </w:tc>
      </w:tr>
      <w:tr w14:paraId="554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 w:type="dxa"/>
            <w:noWrap/>
            <w:vAlign w:val="center"/>
          </w:tcPr>
          <w:p w14:paraId="44216E5E">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024" w:type="dxa"/>
            <w:shd w:val="clear" w:color="auto" w:fill="auto"/>
            <w:vAlign w:val="center"/>
          </w:tcPr>
          <w:p w14:paraId="4B3A5C7E">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2*2.5户外音响线</w:t>
            </w:r>
          </w:p>
        </w:tc>
        <w:tc>
          <w:tcPr>
            <w:tcW w:w="3948" w:type="dxa"/>
            <w:shd w:val="clear" w:color="auto" w:fill="auto"/>
            <w:vAlign w:val="center"/>
          </w:tcPr>
          <w:p w14:paraId="01C8DFE3">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户外防水音柱之间串联1路至门卫室机柜；</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如因位置不便，也可以分2-3路串联至门卫室机柜；</w:t>
            </w:r>
          </w:p>
        </w:tc>
        <w:tc>
          <w:tcPr>
            <w:tcW w:w="704" w:type="dxa"/>
            <w:noWrap/>
            <w:vAlign w:val="center"/>
          </w:tcPr>
          <w:p w14:paraId="63E1EFBE">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746" w:type="dxa"/>
            <w:noWrap/>
            <w:vAlign w:val="center"/>
          </w:tcPr>
          <w:p w14:paraId="12227F66">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1595" w:type="dxa"/>
            <w:noWrap/>
            <w:vAlign w:val="center"/>
          </w:tcPr>
          <w:p w14:paraId="4BCA817D">
            <w:pPr>
              <w:spacing w:after="0"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国标</w:t>
            </w:r>
          </w:p>
        </w:tc>
      </w:tr>
    </w:tbl>
    <w:p w14:paraId="7B4BCBD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bCs/>
          <w:color w:val="auto"/>
          <w:spacing w:val="0"/>
          <w:w w:val="100"/>
          <w:kern w:val="0"/>
          <w:sz w:val="24"/>
          <w:szCs w:val="24"/>
          <w:highlight w:val="none"/>
          <w:u w:val="single"/>
          <w:lang w:val="en-US" w:eastAsia="zh-CN"/>
        </w:rPr>
      </w:pPr>
      <w:r>
        <w:rPr>
          <w:rFonts w:hint="eastAsia" w:ascii="宋体" w:hAnsi="宋体" w:eastAsia="宋体" w:cs="宋体"/>
          <w:b/>
          <w:bCs/>
          <w:color w:val="auto"/>
          <w:spacing w:val="0"/>
          <w:w w:val="100"/>
          <w:kern w:val="0"/>
          <w:sz w:val="24"/>
          <w:szCs w:val="24"/>
          <w:highlight w:val="none"/>
          <w:u w:val="single"/>
          <w:lang w:val="en-US" w:eastAsia="zh-CN"/>
        </w:rPr>
        <w:t>注：</w:t>
      </w:r>
      <w:bookmarkStart w:id="21" w:name="_GoBack"/>
      <w:bookmarkEnd w:id="21"/>
    </w:p>
    <w:p w14:paraId="1B3A351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bCs/>
          <w:color w:val="auto"/>
          <w:spacing w:val="0"/>
          <w:w w:val="100"/>
          <w:kern w:val="0"/>
          <w:sz w:val="24"/>
          <w:szCs w:val="24"/>
          <w:highlight w:val="none"/>
          <w:u w:val="single"/>
          <w:lang w:val="zh-CN" w:eastAsia="zh-CN"/>
        </w:rPr>
      </w:pPr>
      <w:r>
        <w:rPr>
          <w:rFonts w:hint="eastAsia" w:ascii="宋体" w:hAnsi="宋体" w:eastAsia="宋体" w:cs="宋体"/>
          <w:b/>
          <w:bCs/>
          <w:color w:val="auto"/>
          <w:spacing w:val="0"/>
          <w:w w:val="100"/>
          <w:kern w:val="0"/>
          <w:sz w:val="24"/>
          <w:szCs w:val="24"/>
          <w:highlight w:val="none"/>
          <w:u w:val="single"/>
          <w:lang w:val="zh-CN"/>
        </w:rPr>
        <w:t>供应商所投的产品应符合国家及行业相关标准，供应商所提供的服务应符合国</w:t>
      </w:r>
      <w:r>
        <w:rPr>
          <w:rFonts w:hint="eastAsia" w:ascii="宋体" w:hAnsi="宋体" w:eastAsia="宋体" w:cs="宋体"/>
          <w:b/>
          <w:bCs/>
          <w:color w:val="auto"/>
          <w:spacing w:val="0"/>
          <w:w w:val="100"/>
          <w:kern w:val="0"/>
          <w:sz w:val="24"/>
          <w:szCs w:val="24"/>
          <w:highlight w:val="none"/>
          <w:u w:val="single"/>
          <w:lang w:val="zh-CN" w:eastAsia="zh-CN"/>
        </w:rPr>
        <w:t>家相关法律法规。</w:t>
      </w:r>
    </w:p>
    <w:p w14:paraId="20091940">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2" w:firstLineChars="200"/>
        <w:contextualSpacing/>
        <w:textAlignment w:val="auto"/>
        <w:rPr>
          <w:rFonts w:hint="eastAsia" w:ascii="宋体" w:hAnsi="宋体" w:eastAsia="宋体" w:cs="宋体"/>
          <w:b/>
          <w:bCs/>
          <w:color w:val="auto"/>
          <w:spacing w:val="0"/>
          <w:w w:val="100"/>
          <w:kern w:val="0"/>
          <w:sz w:val="24"/>
          <w:szCs w:val="24"/>
          <w:highlight w:val="none"/>
          <w:u w:val="single"/>
          <w:lang w:val="zh-CN" w:eastAsia="zh-CN"/>
        </w:rPr>
      </w:pPr>
      <w:r>
        <w:rPr>
          <w:rFonts w:hint="eastAsia" w:ascii="宋体" w:hAnsi="宋体" w:eastAsia="宋体" w:cs="宋体"/>
          <w:b/>
          <w:bCs/>
          <w:color w:val="auto"/>
          <w:spacing w:val="0"/>
          <w:w w:val="100"/>
          <w:kern w:val="0"/>
          <w:sz w:val="24"/>
          <w:szCs w:val="24"/>
          <w:highlight w:val="none"/>
          <w:lang w:val="en-US" w:eastAsia="zh-CN"/>
        </w:rPr>
        <w:t>投标单位必须明确品牌、生产厂家、产地、及技术参数等。设备品牌由供应商自行选择，</w:t>
      </w:r>
      <w:r>
        <w:rPr>
          <w:rFonts w:hint="eastAsia" w:ascii="宋体" w:hAnsi="宋体" w:cs="宋体"/>
          <w:b/>
          <w:bCs/>
          <w:color w:val="auto"/>
          <w:spacing w:val="0"/>
          <w:w w:val="100"/>
          <w:kern w:val="0"/>
          <w:sz w:val="24"/>
          <w:szCs w:val="24"/>
          <w:highlight w:val="none"/>
          <w:lang w:val="en-US" w:eastAsia="zh-CN"/>
        </w:rPr>
        <w:t>选用推荐品牌以外的品牌的，</w:t>
      </w:r>
      <w:r>
        <w:rPr>
          <w:rFonts w:hint="eastAsia" w:ascii="宋体" w:hAnsi="宋体" w:eastAsia="宋体" w:cs="宋体"/>
          <w:b/>
          <w:bCs/>
          <w:color w:val="auto"/>
          <w:spacing w:val="0"/>
          <w:w w:val="100"/>
          <w:kern w:val="0"/>
          <w:sz w:val="24"/>
          <w:szCs w:val="24"/>
          <w:highlight w:val="none"/>
          <w:lang w:val="en-US" w:eastAsia="zh-CN"/>
        </w:rPr>
        <w:t>其</w:t>
      </w:r>
      <w:r>
        <w:rPr>
          <w:rFonts w:hint="eastAsia" w:ascii="宋体" w:hAnsi="宋体" w:cs="宋体"/>
          <w:b/>
          <w:bCs/>
          <w:color w:val="auto"/>
          <w:spacing w:val="0"/>
          <w:w w:val="100"/>
          <w:kern w:val="0"/>
          <w:sz w:val="24"/>
          <w:szCs w:val="24"/>
          <w:highlight w:val="none"/>
          <w:lang w:val="en-US" w:eastAsia="zh-CN"/>
        </w:rPr>
        <w:t>品质</w:t>
      </w:r>
      <w:r>
        <w:rPr>
          <w:rFonts w:hint="eastAsia" w:ascii="宋体" w:hAnsi="宋体" w:eastAsia="宋体" w:cs="宋体"/>
          <w:b/>
          <w:bCs/>
          <w:color w:val="auto"/>
          <w:spacing w:val="0"/>
          <w:w w:val="100"/>
          <w:kern w:val="0"/>
          <w:sz w:val="24"/>
          <w:szCs w:val="24"/>
          <w:highlight w:val="none"/>
          <w:lang w:val="en-US" w:eastAsia="zh-CN"/>
        </w:rPr>
        <w:t>必须满足或优于本</w:t>
      </w:r>
      <w:r>
        <w:rPr>
          <w:rFonts w:hint="eastAsia" w:ascii="宋体" w:hAnsi="宋体" w:cs="宋体"/>
          <w:b/>
          <w:bCs/>
          <w:color w:val="auto"/>
          <w:spacing w:val="0"/>
          <w:w w:val="100"/>
          <w:kern w:val="0"/>
          <w:sz w:val="24"/>
          <w:szCs w:val="24"/>
          <w:highlight w:val="none"/>
          <w:lang w:val="en-US" w:eastAsia="zh-CN"/>
        </w:rPr>
        <w:t>项目</w:t>
      </w:r>
      <w:r>
        <w:rPr>
          <w:rFonts w:hint="eastAsia" w:ascii="宋体" w:hAnsi="宋体" w:eastAsia="宋体" w:cs="宋体"/>
          <w:b/>
          <w:bCs/>
          <w:color w:val="auto"/>
          <w:spacing w:val="0"/>
          <w:w w:val="100"/>
          <w:kern w:val="0"/>
          <w:sz w:val="24"/>
          <w:szCs w:val="24"/>
          <w:highlight w:val="none"/>
          <w:lang w:val="en-US" w:eastAsia="zh-CN"/>
        </w:rPr>
        <w:t>要求</w:t>
      </w:r>
      <w:r>
        <w:rPr>
          <w:rFonts w:hint="eastAsia" w:ascii="宋体" w:hAnsi="宋体" w:cs="宋体"/>
          <w:b/>
          <w:bCs/>
          <w:color w:val="auto"/>
          <w:spacing w:val="0"/>
          <w:w w:val="100"/>
          <w:kern w:val="0"/>
          <w:sz w:val="24"/>
          <w:szCs w:val="24"/>
          <w:highlight w:val="none"/>
          <w:lang w:val="en-US" w:eastAsia="zh-CN"/>
        </w:rPr>
        <w:t>，同时提供相关证明文件</w:t>
      </w:r>
      <w:r>
        <w:rPr>
          <w:rFonts w:hint="eastAsia" w:ascii="宋体" w:hAnsi="宋体" w:eastAsia="宋体" w:cs="宋体"/>
          <w:b/>
          <w:bCs/>
          <w:color w:val="auto"/>
          <w:spacing w:val="0"/>
          <w:w w:val="100"/>
          <w:kern w:val="0"/>
          <w:sz w:val="24"/>
          <w:szCs w:val="24"/>
          <w:highlight w:val="none"/>
          <w:lang w:val="en-US" w:eastAsia="zh-CN"/>
        </w:rPr>
        <w:t>。</w:t>
      </w:r>
    </w:p>
    <w:p w14:paraId="61F40EA6">
      <w:pPr>
        <w:pageBreakBefore w:val="0"/>
        <w:autoSpaceDE w:val="0"/>
        <w:autoSpaceDN w:val="0"/>
        <w:bidi w:val="0"/>
        <w:adjustRightInd w:val="0"/>
        <w:snapToGrid w:val="0"/>
        <w:spacing w:line="360" w:lineRule="auto"/>
        <w:ind w:firstLine="482" w:firstLineChars="200"/>
        <w:contextualSpacing/>
        <w:outlineLvl w:val="1"/>
        <w:rPr>
          <w:rFonts w:hint="eastAsia" w:ascii="宋体" w:hAnsi="宋体" w:eastAsia="宋体" w:cs="宋体"/>
          <w:b/>
          <w:bCs/>
          <w:color w:val="auto"/>
          <w:spacing w:val="0"/>
          <w:w w:val="100"/>
          <w:kern w:val="0"/>
          <w:sz w:val="24"/>
          <w:szCs w:val="24"/>
          <w:highlight w:val="none"/>
          <w:lang w:val="en-US" w:eastAsia="zh-CN"/>
        </w:rPr>
      </w:pPr>
      <w:r>
        <w:rPr>
          <w:rFonts w:hint="eastAsia" w:ascii="宋体" w:hAnsi="宋体" w:cs="宋体"/>
          <w:b/>
          <w:bCs/>
          <w:color w:val="auto"/>
          <w:spacing w:val="0"/>
          <w:w w:val="100"/>
          <w:kern w:val="0"/>
          <w:sz w:val="24"/>
          <w:szCs w:val="24"/>
          <w:highlight w:val="none"/>
          <w:lang w:val="en-US" w:eastAsia="zh-CN"/>
        </w:rPr>
        <w:t>四</w:t>
      </w:r>
      <w:r>
        <w:rPr>
          <w:rFonts w:hint="eastAsia" w:ascii="宋体" w:hAnsi="宋体" w:eastAsia="宋体" w:cs="宋体"/>
          <w:b/>
          <w:bCs/>
          <w:color w:val="auto"/>
          <w:spacing w:val="0"/>
          <w:w w:val="100"/>
          <w:kern w:val="0"/>
          <w:sz w:val="24"/>
          <w:szCs w:val="24"/>
          <w:highlight w:val="none"/>
          <w:lang w:val="en-US" w:eastAsia="zh-CN"/>
        </w:rPr>
        <w:t>、项目具体需求说明</w:t>
      </w:r>
    </w:p>
    <w:p w14:paraId="6BD39CBB">
      <w:pPr>
        <w:pageBreakBefore w:val="0"/>
        <w:autoSpaceDE w:val="0"/>
        <w:autoSpaceDN w:val="0"/>
        <w:bidi w:val="0"/>
        <w:adjustRightInd w:val="0"/>
        <w:snapToGrid w:val="0"/>
        <w:spacing w:line="360" w:lineRule="auto"/>
        <w:ind w:firstLine="482" w:firstLineChars="200"/>
        <w:contextualSpacing/>
        <w:outlineLvl w:val="2"/>
        <w:rPr>
          <w:rFonts w:hint="eastAsia" w:ascii="宋体" w:hAnsi="宋体" w:eastAsia="宋体" w:cs="宋体"/>
          <w:b/>
          <w:bCs/>
          <w:color w:val="auto"/>
          <w:spacing w:val="0"/>
          <w:w w:val="100"/>
          <w:kern w:val="0"/>
          <w:sz w:val="24"/>
          <w:szCs w:val="24"/>
          <w:highlight w:val="none"/>
          <w:lang w:val="en-US" w:eastAsia="zh-CN"/>
        </w:rPr>
      </w:pPr>
      <w:r>
        <w:rPr>
          <w:rFonts w:hint="eastAsia" w:ascii="宋体" w:hAnsi="宋体" w:eastAsia="宋体" w:cs="宋体"/>
          <w:b/>
          <w:bCs/>
          <w:color w:val="auto"/>
          <w:spacing w:val="0"/>
          <w:w w:val="100"/>
          <w:kern w:val="0"/>
          <w:sz w:val="24"/>
          <w:szCs w:val="24"/>
          <w:highlight w:val="none"/>
          <w:lang w:val="en-US" w:eastAsia="zh-CN"/>
        </w:rPr>
        <w:t>1、质量要求</w:t>
      </w:r>
    </w:p>
    <w:p w14:paraId="0F44A7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textAlignment w:val="auto"/>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1</w:t>
      </w:r>
      <w:r>
        <w:rPr>
          <w:rFonts w:hint="eastAsia" w:ascii="宋体" w:hAnsi="宋体" w:eastAsia="宋体" w:cs="宋体"/>
          <w:color w:val="auto"/>
          <w:spacing w:val="0"/>
          <w:w w:val="100"/>
          <w:kern w:val="0"/>
          <w:sz w:val="24"/>
          <w:szCs w:val="24"/>
          <w:highlight w:val="none"/>
          <w:lang w:val="zh-CN"/>
        </w:rPr>
        <w:t>）供应商提供的货物完全符合国家规定的质量标准、行业标准及招标人要求。在产品使用过程中，如招标人发现产品质量或规格不符，或证明产品有缺陷（包括潜在的缺陷或使用不合格的原材料），招标人可以送具有国家鉴定资质的第三方或原厂进行质量检验。经检验产品质量存在问题的检测费用由供应商承担，招标人有权要求供应商免费维修、更换，并赔偿供应商损失。</w:t>
      </w:r>
    </w:p>
    <w:p w14:paraId="29961ADB">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2</w:t>
      </w:r>
      <w:r>
        <w:rPr>
          <w:rFonts w:hint="eastAsia" w:ascii="宋体" w:hAnsi="宋体" w:eastAsia="宋体" w:cs="宋体"/>
          <w:color w:val="auto"/>
          <w:spacing w:val="0"/>
          <w:w w:val="100"/>
          <w:kern w:val="0"/>
          <w:sz w:val="24"/>
          <w:szCs w:val="24"/>
          <w:highlight w:val="none"/>
          <w:lang w:val="zh-CN"/>
        </w:rPr>
        <w:t>）供应商提供的货物的技术标准按国家标准执行，无国家标准的，按行业标准执行，无国家和行业标准的，按企业标准执行；但在采购文件中有特别要求的，按采购文件中规定的要求执行，并且符合相关法律、法规规定的要求。</w:t>
      </w:r>
    </w:p>
    <w:p w14:paraId="6F4A839B">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3</w:t>
      </w:r>
      <w:r>
        <w:rPr>
          <w:rFonts w:hint="eastAsia" w:ascii="宋体" w:hAnsi="宋体" w:eastAsia="宋体" w:cs="宋体"/>
          <w:color w:val="auto"/>
          <w:spacing w:val="0"/>
          <w:w w:val="100"/>
          <w:kern w:val="0"/>
          <w:sz w:val="24"/>
          <w:szCs w:val="24"/>
          <w:highlight w:val="none"/>
          <w:lang w:val="zh-CN"/>
        </w:rPr>
        <w:t>）产品的包装，国家或行业主管部门有规定的，按规定执行。</w:t>
      </w:r>
    </w:p>
    <w:p w14:paraId="592BA5BA">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4</w:t>
      </w:r>
      <w:r>
        <w:rPr>
          <w:rFonts w:hint="eastAsia" w:ascii="宋体" w:hAnsi="宋体" w:eastAsia="宋体" w:cs="宋体"/>
          <w:color w:val="auto"/>
          <w:spacing w:val="0"/>
          <w:w w:val="100"/>
          <w:kern w:val="0"/>
          <w:sz w:val="24"/>
          <w:szCs w:val="24"/>
          <w:highlight w:val="none"/>
          <w:lang w:val="zh-CN"/>
        </w:rPr>
        <w:t>）供应商应保证提供的产品不得侵犯第三方专利权、商标权和工业设计权、版权等。否则，供应商应负全部责任，并承担由此引起的一切后果。</w:t>
      </w:r>
    </w:p>
    <w:p w14:paraId="1750179E">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5</w:t>
      </w:r>
      <w:r>
        <w:rPr>
          <w:rFonts w:hint="eastAsia" w:ascii="宋体" w:hAnsi="宋体" w:eastAsia="宋体" w:cs="宋体"/>
          <w:color w:val="auto"/>
          <w:spacing w:val="0"/>
          <w:w w:val="100"/>
          <w:kern w:val="0"/>
          <w:sz w:val="24"/>
          <w:szCs w:val="24"/>
          <w:highlight w:val="none"/>
          <w:lang w:val="zh-CN"/>
        </w:rPr>
        <w:t>）供应商应保证其货物在正确安装、正常使用和保养条件下，在其使用寿命期内应具有满意的性能。</w:t>
      </w:r>
    </w:p>
    <w:p w14:paraId="2BFD6C8F">
      <w:pPr>
        <w:pageBreakBefore w:val="0"/>
        <w:autoSpaceDE w:val="0"/>
        <w:autoSpaceDN w:val="0"/>
        <w:bidi w:val="0"/>
        <w:adjustRightInd w:val="0"/>
        <w:snapToGrid w:val="0"/>
        <w:spacing w:line="360" w:lineRule="auto"/>
        <w:ind w:firstLine="482" w:firstLineChars="200"/>
        <w:contextualSpacing/>
        <w:outlineLvl w:val="2"/>
        <w:rPr>
          <w:rFonts w:hint="eastAsia" w:ascii="宋体" w:hAnsi="宋体" w:eastAsia="宋体" w:cs="宋体"/>
          <w:b/>
          <w:bCs/>
          <w:color w:val="auto"/>
          <w:spacing w:val="0"/>
          <w:w w:val="100"/>
          <w:kern w:val="0"/>
          <w:sz w:val="24"/>
          <w:szCs w:val="24"/>
          <w:highlight w:val="none"/>
          <w:lang w:val="zh-CN" w:eastAsia="zh-CN"/>
        </w:rPr>
      </w:pPr>
      <w:r>
        <w:rPr>
          <w:rFonts w:hint="eastAsia" w:ascii="宋体" w:hAnsi="宋体" w:eastAsia="宋体" w:cs="宋体"/>
          <w:b/>
          <w:bCs/>
          <w:color w:val="auto"/>
          <w:spacing w:val="0"/>
          <w:w w:val="100"/>
          <w:kern w:val="0"/>
          <w:sz w:val="24"/>
          <w:szCs w:val="24"/>
          <w:highlight w:val="none"/>
          <w:lang w:val="en-US" w:eastAsia="zh-CN"/>
        </w:rPr>
        <w:t>2、</w:t>
      </w:r>
      <w:r>
        <w:rPr>
          <w:rFonts w:hint="eastAsia" w:ascii="宋体" w:hAnsi="宋体" w:eastAsia="宋体" w:cs="宋体"/>
          <w:b/>
          <w:bCs/>
          <w:color w:val="auto"/>
          <w:spacing w:val="0"/>
          <w:w w:val="100"/>
          <w:kern w:val="0"/>
          <w:sz w:val="24"/>
          <w:szCs w:val="24"/>
          <w:highlight w:val="none"/>
          <w:lang w:val="zh-CN" w:eastAsia="zh-CN"/>
        </w:rPr>
        <w:t>安全要求</w:t>
      </w:r>
    </w:p>
    <w:p w14:paraId="1002F706">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供应商应采取必要的安全措施保证货物的运输安全，并承担货物的运输过程中产生的一切风险及全部责任。</w:t>
      </w:r>
    </w:p>
    <w:p w14:paraId="063712B7">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lang w:val="en-US" w:eastAsia="zh-CN"/>
        </w:rPr>
        <w:t>3</w:t>
      </w:r>
      <w:r>
        <w:rPr>
          <w:rFonts w:hint="eastAsia" w:ascii="宋体" w:hAnsi="宋体" w:eastAsia="宋体" w:cs="宋体"/>
          <w:color w:val="auto"/>
          <w:spacing w:val="0"/>
          <w:w w:val="100"/>
          <w:kern w:val="0"/>
          <w:sz w:val="24"/>
          <w:szCs w:val="24"/>
          <w:highlight w:val="none"/>
        </w:rPr>
        <w:t>、</w:t>
      </w:r>
      <w:r>
        <w:rPr>
          <w:rFonts w:hint="eastAsia" w:ascii="宋体" w:hAnsi="宋体" w:eastAsia="宋体" w:cs="宋体"/>
          <w:color w:val="auto"/>
          <w:spacing w:val="0"/>
          <w:w w:val="100"/>
          <w:kern w:val="0"/>
          <w:sz w:val="24"/>
          <w:szCs w:val="24"/>
          <w:highlight w:val="none"/>
          <w:lang w:val="zh-CN"/>
        </w:rPr>
        <w:t>项目要求进行设备的安装，在清单中未曾反映的配套施工请自行考虑在报价内，</w:t>
      </w:r>
      <w:r>
        <w:rPr>
          <w:rFonts w:hint="eastAsia" w:ascii="宋体" w:hAnsi="宋体" w:eastAsia="宋体" w:cs="宋体"/>
          <w:color w:val="auto"/>
          <w:spacing w:val="0"/>
          <w:w w:val="100"/>
          <w:kern w:val="0"/>
          <w:sz w:val="24"/>
          <w:szCs w:val="24"/>
          <w:highlight w:val="none"/>
          <w:lang w:val="en-US" w:eastAsia="zh-CN"/>
        </w:rPr>
        <w:t>中标</w:t>
      </w:r>
      <w:r>
        <w:rPr>
          <w:rFonts w:hint="eastAsia" w:ascii="宋体" w:hAnsi="宋体" w:eastAsia="宋体" w:cs="宋体"/>
          <w:color w:val="auto"/>
          <w:spacing w:val="0"/>
          <w:w w:val="100"/>
          <w:kern w:val="0"/>
          <w:sz w:val="24"/>
          <w:szCs w:val="24"/>
          <w:highlight w:val="none"/>
          <w:lang w:val="zh-CN"/>
        </w:rPr>
        <w:t>后不再作任</w:t>
      </w:r>
      <w:r>
        <w:rPr>
          <w:rFonts w:hint="eastAsia" w:ascii="宋体" w:hAnsi="宋体" w:eastAsia="宋体" w:cs="宋体"/>
          <w:color w:val="auto"/>
          <w:spacing w:val="0"/>
          <w:w w:val="100"/>
          <w:kern w:val="0"/>
          <w:sz w:val="24"/>
          <w:szCs w:val="24"/>
          <w:highlight w:val="none"/>
        </w:rPr>
        <w:t>何更改及费用的增加，但必须保证设备的正常使用，由此产生的额外费用视作赠送。</w:t>
      </w:r>
    </w:p>
    <w:p w14:paraId="508BDD1C">
      <w:pPr>
        <w:pageBreakBefore w:val="0"/>
        <w:autoSpaceDE w:val="0"/>
        <w:autoSpaceDN w:val="0"/>
        <w:bidi w:val="0"/>
        <w:adjustRightInd w:val="0"/>
        <w:snapToGrid w:val="0"/>
        <w:spacing w:line="360" w:lineRule="auto"/>
        <w:ind w:firstLine="482" w:firstLineChars="200"/>
        <w:contextualSpacing/>
        <w:outlineLvl w:val="1"/>
        <w:rPr>
          <w:rFonts w:hint="eastAsia" w:ascii="宋体" w:hAnsi="宋体" w:eastAsia="宋体" w:cs="宋体"/>
          <w:b/>
          <w:color w:val="auto"/>
          <w:spacing w:val="0"/>
          <w:w w:val="100"/>
          <w:kern w:val="0"/>
          <w:sz w:val="24"/>
          <w:szCs w:val="24"/>
          <w:highlight w:val="none"/>
        </w:rPr>
      </w:pPr>
      <w:r>
        <w:rPr>
          <w:rFonts w:hint="eastAsia" w:ascii="宋体" w:hAnsi="宋体" w:cs="宋体"/>
          <w:b/>
          <w:color w:val="auto"/>
          <w:spacing w:val="0"/>
          <w:w w:val="100"/>
          <w:kern w:val="0"/>
          <w:sz w:val="24"/>
          <w:szCs w:val="24"/>
          <w:highlight w:val="none"/>
          <w:lang w:val="en-US" w:eastAsia="zh-CN"/>
        </w:rPr>
        <w:t>五</w:t>
      </w:r>
      <w:r>
        <w:rPr>
          <w:rFonts w:hint="eastAsia" w:ascii="宋体" w:hAnsi="宋体" w:eastAsia="宋体" w:cs="宋体"/>
          <w:b/>
          <w:color w:val="auto"/>
          <w:spacing w:val="0"/>
          <w:w w:val="100"/>
          <w:kern w:val="0"/>
          <w:sz w:val="24"/>
          <w:szCs w:val="24"/>
          <w:highlight w:val="none"/>
          <w:lang w:val="zh-CN"/>
        </w:rPr>
        <w:t>、</w:t>
      </w:r>
      <w:r>
        <w:rPr>
          <w:rFonts w:hint="eastAsia" w:ascii="宋体" w:hAnsi="宋体" w:eastAsia="宋体" w:cs="宋体"/>
          <w:b/>
          <w:color w:val="auto"/>
          <w:spacing w:val="0"/>
          <w:w w:val="100"/>
          <w:kern w:val="0"/>
          <w:sz w:val="24"/>
          <w:szCs w:val="24"/>
          <w:highlight w:val="none"/>
        </w:rPr>
        <w:t>采购项目交付或者实施的时间和地点</w:t>
      </w:r>
    </w:p>
    <w:p w14:paraId="79C5860B">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rPr>
        <w:t>1</w:t>
      </w:r>
      <w:r>
        <w:rPr>
          <w:rFonts w:hint="eastAsia" w:ascii="宋体" w:hAnsi="宋体" w:eastAsia="宋体" w:cs="宋体"/>
          <w:color w:val="auto"/>
          <w:spacing w:val="0"/>
          <w:w w:val="100"/>
          <w:kern w:val="0"/>
          <w:sz w:val="24"/>
          <w:szCs w:val="24"/>
          <w:highlight w:val="none"/>
          <w:lang w:val="zh-CN"/>
        </w:rPr>
        <w:t>、</w:t>
      </w:r>
      <w:r>
        <w:rPr>
          <w:rFonts w:hint="eastAsia" w:ascii="宋体" w:hAnsi="宋体" w:eastAsia="宋体" w:cs="宋体"/>
          <w:color w:val="auto"/>
          <w:spacing w:val="0"/>
          <w:w w:val="100"/>
          <w:kern w:val="0"/>
          <w:sz w:val="24"/>
          <w:szCs w:val="24"/>
          <w:highlight w:val="none"/>
        </w:rPr>
        <w:t>合同履行期限：合同签订后</w:t>
      </w:r>
      <w:r>
        <w:rPr>
          <w:rFonts w:hint="eastAsia" w:ascii="宋体" w:hAnsi="宋体" w:cs="宋体"/>
          <w:color w:val="auto"/>
          <w:spacing w:val="0"/>
          <w:w w:val="100"/>
          <w:kern w:val="0"/>
          <w:sz w:val="24"/>
          <w:szCs w:val="24"/>
          <w:highlight w:val="none"/>
          <w:lang w:val="en-US" w:eastAsia="zh-CN"/>
        </w:rPr>
        <w:t>7</w:t>
      </w:r>
      <w:r>
        <w:rPr>
          <w:rFonts w:hint="eastAsia" w:ascii="宋体" w:hAnsi="宋体" w:eastAsia="宋体" w:cs="宋体"/>
          <w:color w:val="auto"/>
          <w:spacing w:val="0"/>
          <w:w w:val="100"/>
          <w:kern w:val="0"/>
          <w:sz w:val="24"/>
          <w:szCs w:val="24"/>
          <w:highlight w:val="none"/>
        </w:rPr>
        <w:t>日内交货并安装调试完成，并通过验收合格正常使用。</w:t>
      </w:r>
    </w:p>
    <w:p w14:paraId="39B1A6BE">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rPr>
        <w:t>2</w:t>
      </w:r>
      <w:r>
        <w:rPr>
          <w:rFonts w:hint="eastAsia" w:ascii="宋体" w:hAnsi="宋体" w:eastAsia="宋体" w:cs="宋体"/>
          <w:color w:val="auto"/>
          <w:spacing w:val="0"/>
          <w:w w:val="100"/>
          <w:kern w:val="0"/>
          <w:sz w:val="24"/>
          <w:szCs w:val="24"/>
          <w:highlight w:val="none"/>
          <w:lang w:val="zh-CN"/>
        </w:rPr>
        <w:t>、交付地点：</w:t>
      </w:r>
      <w:r>
        <w:rPr>
          <w:rFonts w:hint="eastAsia" w:ascii="宋体" w:hAnsi="宋体" w:eastAsia="宋体" w:cs="宋体"/>
          <w:color w:val="auto"/>
          <w:spacing w:val="0"/>
          <w:w w:val="100"/>
          <w:kern w:val="0"/>
          <w:sz w:val="24"/>
          <w:szCs w:val="24"/>
          <w:highlight w:val="none"/>
          <w:lang w:eastAsia="zh-CN"/>
        </w:rPr>
        <w:t>招标人</w:t>
      </w:r>
      <w:r>
        <w:rPr>
          <w:rFonts w:hint="eastAsia" w:ascii="宋体" w:hAnsi="宋体" w:eastAsia="宋体" w:cs="宋体"/>
          <w:color w:val="auto"/>
          <w:spacing w:val="0"/>
          <w:w w:val="100"/>
          <w:kern w:val="0"/>
          <w:sz w:val="24"/>
          <w:szCs w:val="24"/>
          <w:highlight w:val="none"/>
          <w:lang w:val="zh-CN"/>
        </w:rPr>
        <w:t>指定地点。</w:t>
      </w:r>
    </w:p>
    <w:p w14:paraId="57AE6E30">
      <w:pPr>
        <w:pageBreakBefore w:val="0"/>
        <w:autoSpaceDE w:val="0"/>
        <w:autoSpaceDN w:val="0"/>
        <w:bidi w:val="0"/>
        <w:adjustRightInd w:val="0"/>
        <w:snapToGrid w:val="0"/>
        <w:spacing w:line="360" w:lineRule="auto"/>
        <w:ind w:firstLine="482" w:firstLineChars="200"/>
        <w:contextualSpacing/>
        <w:outlineLvl w:val="1"/>
        <w:rPr>
          <w:rFonts w:hint="eastAsia" w:ascii="宋体" w:hAnsi="宋体" w:eastAsia="宋体" w:cs="宋体"/>
          <w:b/>
          <w:color w:val="auto"/>
          <w:spacing w:val="0"/>
          <w:w w:val="100"/>
          <w:kern w:val="0"/>
          <w:sz w:val="24"/>
          <w:szCs w:val="24"/>
          <w:highlight w:val="none"/>
        </w:rPr>
      </w:pPr>
      <w:r>
        <w:rPr>
          <w:rFonts w:hint="eastAsia" w:ascii="宋体" w:hAnsi="宋体" w:cs="宋体"/>
          <w:b/>
          <w:color w:val="auto"/>
          <w:spacing w:val="0"/>
          <w:w w:val="100"/>
          <w:kern w:val="0"/>
          <w:sz w:val="24"/>
          <w:szCs w:val="24"/>
          <w:highlight w:val="none"/>
          <w:lang w:val="en-US" w:eastAsia="zh-CN"/>
        </w:rPr>
        <w:t>六</w:t>
      </w:r>
      <w:r>
        <w:rPr>
          <w:rFonts w:hint="eastAsia" w:ascii="宋体" w:hAnsi="宋体" w:eastAsia="宋体" w:cs="宋体"/>
          <w:b/>
          <w:color w:val="auto"/>
          <w:spacing w:val="0"/>
          <w:w w:val="100"/>
          <w:kern w:val="0"/>
          <w:sz w:val="24"/>
          <w:szCs w:val="24"/>
          <w:highlight w:val="none"/>
        </w:rPr>
        <w:t>、采购标的需满足的服务标准、期限、效率等要求</w:t>
      </w:r>
    </w:p>
    <w:p w14:paraId="2385542E">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rPr>
        <w:t>1、</w:t>
      </w:r>
      <w:r>
        <w:rPr>
          <w:rFonts w:hint="eastAsia" w:ascii="宋体" w:hAnsi="宋体" w:eastAsia="宋体" w:cs="宋体"/>
          <w:color w:val="auto"/>
          <w:spacing w:val="0"/>
          <w:w w:val="100"/>
          <w:kern w:val="0"/>
          <w:sz w:val="24"/>
          <w:szCs w:val="24"/>
          <w:highlight w:val="none"/>
          <w:lang w:val="zh-CN"/>
        </w:rPr>
        <w:t>供应商承诺报价内容均涵盖报价要求之一切费用和伴随服务。</w:t>
      </w:r>
    </w:p>
    <w:p w14:paraId="4CC52C6E">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rPr>
      </w:pPr>
      <w:r>
        <w:rPr>
          <w:rFonts w:hint="eastAsia" w:ascii="宋体" w:hAnsi="宋体" w:eastAsia="宋体" w:cs="宋体"/>
          <w:color w:val="auto"/>
          <w:spacing w:val="0"/>
          <w:w w:val="100"/>
          <w:kern w:val="0"/>
          <w:sz w:val="24"/>
          <w:szCs w:val="24"/>
          <w:highlight w:val="none"/>
        </w:rPr>
        <w:t>2、采购文件所提供的项目相关数据仅做参考，根据自身需要，</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rPr>
        <w:t>供应商可在投标文件递交之日前对有关现场和周围环境进行勘察，以获取编制</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rPr>
        <w:t>文件和签署合同所需的信息；勘察现场所发生的责任和费用由</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rPr>
        <w:t>供应商自己承担。</w:t>
      </w:r>
    </w:p>
    <w:p w14:paraId="5ED6BAD1">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rPr>
        <w:t>3、采购单位向</w:t>
      </w:r>
      <w:r>
        <w:rPr>
          <w:rFonts w:hint="eastAsia" w:ascii="宋体" w:hAnsi="宋体" w:eastAsia="宋体" w:cs="宋体"/>
          <w:color w:val="auto"/>
          <w:spacing w:val="0"/>
          <w:w w:val="100"/>
          <w:kern w:val="0"/>
          <w:sz w:val="24"/>
          <w:szCs w:val="24"/>
          <w:highlight w:val="none"/>
          <w:lang w:val="en-US" w:eastAsia="zh-CN"/>
        </w:rPr>
        <w:t>投标</w:t>
      </w:r>
      <w:r>
        <w:rPr>
          <w:rFonts w:hint="eastAsia" w:ascii="宋体" w:hAnsi="宋体" w:eastAsia="宋体" w:cs="宋体"/>
          <w:color w:val="auto"/>
          <w:spacing w:val="0"/>
          <w:w w:val="100"/>
          <w:kern w:val="0"/>
          <w:sz w:val="24"/>
          <w:szCs w:val="24"/>
          <w:highlight w:val="none"/>
        </w:rPr>
        <w:t>供应商提供的有关资料和数据，是采购单位现有的并认为能使</w:t>
      </w:r>
      <w:r>
        <w:rPr>
          <w:rFonts w:hint="eastAsia" w:ascii="宋体" w:hAnsi="宋体" w:eastAsia="宋体" w:cs="宋体"/>
          <w:color w:val="auto"/>
          <w:spacing w:val="0"/>
          <w:w w:val="100"/>
          <w:kern w:val="0"/>
          <w:sz w:val="24"/>
          <w:szCs w:val="24"/>
          <w:highlight w:val="none"/>
          <w:lang w:eastAsia="zh-CN"/>
        </w:rPr>
        <w:t>投标供应商</w:t>
      </w:r>
      <w:r>
        <w:rPr>
          <w:rFonts w:hint="eastAsia" w:ascii="宋体" w:hAnsi="宋体" w:eastAsia="宋体" w:cs="宋体"/>
          <w:color w:val="auto"/>
          <w:spacing w:val="0"/>
          <w:w w:val="100"/>
          <w:kern w:val="0"/>
          <w:sz w:val="24"/>
          <w:szCs w:val="24"/>
          <w:highlight w:val="none"/>
        </w:rPr>
        <w:t>可利用的资料。</w:t>
      </w:r>
      <w:r>
        <w:rPr>
          <w:rFonts w:hint="eastAsia" w:ascii="宋体" w:hAnsi="宋体" w:eastAsia="宋体" w:cs="宋体"/>
          <w:color w:val="auto"/>
          <w:spacing w:val="0"/>
          <w:w w:val="100"/>
          <w:kern w:val="0"/>
          <w:sz w:val="24"/>
          <w:szCs w:val="24"/>
          <w:highlight w:val="none"/>
          <w:lang w:eastAsia="zh-CN"/>
        </w:rPr>
        <w:t>招标人</w:t>
      </w:r>
      <w:r>
        <w:rPr>
          <w:rFonts w:hint="eastAsia" w:ascii="宋体" w:hAnsi="宋体" w:eastAsia="宋体" w:cs="宋体"/>
          <w:color w:val="auto"/>
          <w:spacing w:val="0"/>
          <w:w w:val="100"/>
          <w:kern w:val="0"/>
          <w:sz w:val="24"/>
          <w:szCs w:val="24"/>
          <w:highlight w:val="none"/>
        </w:rPr>
        <w:t>对</w:t>
      </w:r>
      <w:r>
        <w:rPr>
          <w:rFonts w:hint="eastAsia" w:ascii="宋体" w:hAnsi="宋体" w:eastAsia="宋体" w:cs="宋体"/>
          <w:color w:val="auto"/>
          <w:spacing w:val="0"/>
          <w:w w:val="100"/>
          <w:kern w:val="0"/>
          <w:sz w:val="24"/>
          <w:szCs w:val="24"/>
          <w:highlight w:val="none"/>
          <w:lang w:eastAsia="zh-CN"/>
        </w:rPr>
        <w:t>投标供应商</w:t>
      </w:r>
      <w:r>
        <w:rPr>
          <w:rFonts w:hint="eastAsia" w:ascii="宋体" w:hAnsi="宋体" w:eastAsia="宋体" w:cs="宋体"/>
          <w:color w:val="auto"/>
          <w:spacing w:val="0"/>
          <w:w w:val="100"/>
          <w:kern w:val="0"/>
          <w:sz w:val="24"/>
          <w:szCs w:val="24"/>
          <w:highlight w:val="none"/>
        </w:rPr>
        <w:t>由此而做出的推论、理解和结论概不负责。</w:t>
      </w:r>
    </w:p>
    <w:p w14:paraId="69988E70">
      <w:pPr>
        <w:pageBreakBefore w:val="0"/>
        <w:autoSpaceDE w:val="0"/>
        <w:autoSpaceDN w:val="0"/>
        <w:bidi w:val="0"/>
        <w:adjustRightInd w:val="0"/>
        <w:snapToGrid w:val="0"/>
        <w:spacing w:line="360" w:lineRule="auto"/>
        <w:ind w:firstLine="482" w:firstLineChars="200"/>
        <w:contextualSpacing/>
        <w:rPr>
          <w:rFonts w:hint="eastAsia" w:ascii="宋体" w:hAnsi="宋体" w:eastAsia="宋体" w:cs="宋体"/>
          <w:b/>
          <w:color w:val="auto"/>
          <w:spacing w:val="0"/>
          <w:w w:val="100"/>
          <w:kern w:val="0"/>
          <w:sz w:val="24"/>
          <w:szCs w:val="24"/>
          <w:highlight w:val="none"/>
        </w:rPr>
      </w:pPr>
      <w:r>
        <w:rPr>
          <w:rFonts w:hint="eastAsia" w:ascii="宋体" w:hAnsi="宋体" w:cs="宋体"/>
          <w:b/>
          <w:color w:val="auto"/>
          <w:spacing w:val="0"/>
          <w:w w:val="100"/>
          <w:kern w:val="0"/>
          <w:sz w:val="24"/>
          <w:szCs w:val="24"/>
          <w:highlight w:val="none"/>
          <w:lang w:val="en-US" w:eastAsia="zh-CN"/>
        </w:rPr>
        <w:t>七</w:t>
      </w:r>
      <w:r>
        <w:rPr>
          <w:rFonts w:hint="eastAsia" w:ascii="宋体" w:hAnsi="宋体" w:eastAsia="宋体" w:cs="宋体"/>
          <w:b/>
          <w:color w:val="auto"/>
          <w:spacing w:val="0"/>
          <w:w w:val="100"/>
          <w:kern w:val="0"/>
          <w:sz w:val="24"/>
          <w:szCs w:val="24"/>
          <w:highlight w:val="none"/>
        </w:rPr>
        <w:t>、采购标的验收标准</w:t>
      </w:r>
    </w:p>
    <w:p w14:paraId="388E3136">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1、采购项目涉及的货物由采购方组织有关部门进行专项验收；</w:t>
      </w:r>
    </w:p>
    <w:p w14:paraId="56F70CAF">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2、</w:t>
      </w:r>
      <w:r>
        <w:rPr>
          <w:rFonts w:hint="eastAsia" w:ascii="宋体" w:hAnsi="宋体" w:eastAsia="宋体" w:cs="宋体"/>
          <w:color w:val="auto"/>
          <w:spacing w:val="0"/>
          <w:w w:val="100"/>
          <w:kern w:val="0"/>
          <w:sz w:val="24"/>
          <w:szCs w:val="24"/>
          <w:highlight w:val="none"/>
          <w:lang w:val="en-US" w:eastAsia="zh-CN"/>
        </w:rPr>
        <w:t>中标</w:t>
      </w:r>
      <w:r>
        <w:rPr>
          <w:rFonts w:hint="eastAsia" w:ascii="宋体" w:hAnsi="宋体" w:eastAsia="宋体" w:cs="宋体"/>
          <w:color w:val="auto"/>
          <w:spacing w:val="0"/>
          <w:w w:val="100"/>
          <w:kern w:val="0"/>
          <w:sz w:val="24"/>
          <w:szCs w:val="24"/>
          <w:highlight w:val="none"/>
          <w:lang w:val="zh-CN"/>
        </w:rPr>
        <w:t>人所供货物在通过专项验收时，应对由于设计、工艺或材料的缺陷而发生的任何不足或故障负责，并承担由此引起的一切后果。</w:t>
      </w:r>
    </w:p>
    <w:p w14:paraId="3CF31BDB">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3、招标人有权拒收未通过专项验收的货物。</w:t>
      </w:r>
    </w:p>
    <w:p w14:paraId="67123033">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4、验收合格的同时，中标人需提供质保书、保修证明等书面资料，并按国家制造和安装的标准要求检测验收，质保期自出具验收合格报告之日起算；</w:t>
      </w:r>
    </w:p>
    <w:p w14:paraId="6B4174DC">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5、如双方对验收结果有分歧，招标人请有权部门鉴定，检验费由有过失的一方支付。</w:t>
      </w:r>
    </w:p>
    <w:p w14:paraId="1CE091EA">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6、对于检测不合格的，该批次货物无条件退货并退场。同时招标人认定为中标人自身的原因而导致的该结果，有权取消中标人的成交资格且解除采购合同。</w:t>
      </w:r>
    </w:p>
    <w:p w14:paraId="70F7D9D9">
      <w:pPr>
        <w:pageBreakBefore w:val="0"/>
        <w:autoSpaceDE w:val="0"/>
        <w:autoSpaceDN w:val="0"/>
        <w:bidi w:val="0"/>
        <w:adjustRightInd w:val="0"/>
        <w:snapToGrid w:val="0"/>
        <w:spacing w:line="360" w:lineRule="auto"/>
        <w:ind w:firstLine="482" w:firstLineChars="200"/>
        <w:contextualSpacing/>
        <w:outlineLvl w:val="1"/>
        <w:rPr>
          <w:rFonts w:hint="default" w:ascii="宋体" w:hAnsi="宋体" w:eastAsia="宋体" w:cs="宋体"/>
          <w:b/>
          <w:color w:val="auto"/>
          <w:spacing w:val="0"/>
          <w:w w:val="100"/>
          <w:kern w:val="0"/>
          <w:sz w:val="24"/>
          <w:szCs w:val="24"/>
          <w:highlight w:val="none"/>
          <w:lang w:val="en-US" w:eastAsia="zh-CN"/>
        </w:rPr>
      </w:pPr>
      <w:r>
        <w:rPr>
          <w:rFonts w:hint="eastAsia" w:ascii="宋体" w:hAnsi="宋体" w:cs="宋体"/>
          <w:b/>
          <w:color w:val="auto"/>
          <w:spacing w:val="0"/>
          <w:w w:val="100"/>
          <w:kern w:val="0"/>
          <w:sz w:val="24"/>
          <w:szCs w:val="24"/>
          <w:highlight w:val="none"/>
          <w:lang w:val="en-US" w:eastAsia="zh-CN"/>
        </w:rPr>
        <w:t>八</w:t>
      </w:r>
      <w:r>
        <w:rPr>
          <w:rFonts w:hint="eastAsia" w:ascii="宋体" w:hAnsi="宋体" w:eastAsia="宋体" w:cs="宋体"/>
          <w:b/>
          <w:color w:val="auto"/>
          <w:spacing w:val="0"/>
          <w:w w:val="100"/>
          <w:kern w:val="0"/>
          <w:sz w:val="24"/>
          <w:szCs w:val="24"/>
          <w:highlight w:val="none"/>
        </w:rPr>
        <w:t>、</w:t>
      </w:r>
      <w:r>
        <w:rPr>
          <w:rFonts w:hint="eastAsia" w:ascii="宋体" w:hAnsi="宋体" w:eastAsia="宋体" w:cs="宋体"/>
          <w:b/>
          <w:color w:val="auto"/>
          <w:spacing w:val="0"/>
          <w:w w:val="100"/>
          <w:kern w:val="0"/>
          <w:sz w:val="24"/>
          <w:szCs w:val="24"/>
          <w:highlight w:val="none"/>
          <w:lang w:val="en-US" w:eastAsia="zh-CN"/>
        </w:rPr>
        <w:t>其他要求</w:t>
      </w:r>
    </w:p>
    <w:p w14:paraId="575AB8C4">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1、</w:t>
      </w:r>
      <w:r>
        <w:rPr>
          <w:rFonts w:hint="eastAsia" w:ascii="宋体" w:hAnsi="宋体" w:eastAsia="宋体" w:cs="宋体"/>
          <w:color w:val="auto"/>
          <w:spacing w:val="0"/>
          <w:w w:val="100"/>
          <w:kern w:val="0"/>
          <w:sz w:val="24"/>
          <w:szCs w:val="24"/>
          <w:highlight w:val="none"/>
          <w:lang w:val="zh-CN"/>
        </w:rPr>
        <w:t>质量保修期（从验收合格之日算起）：</w:t>
      </w:r>
      <w:r>
        <w:rPr>
          <w:rFonts w:hint="eastAsia" w:ascii="宋体" w:hAnsi="宋体" w:eastAsia="宋体" w:cs="宋体"/>
          <w:color w:val="auto"/>
          <w:spacing w:val="0"/>
          <w:w w:val="100"/>
          <w:kern w:val="0"/>
          <w:sz w:val="24"/>
          <w:szCs w:val="24"/>
          <w:highlight w:val="none"/>
          <w:lang w:val="zh-CN"/>
        </w:rPr>
        <w:t>自安装调试验收合格之日起质保</w:t>
      </w:r>
      <w:r>
        <w:rPr>
          <w:rFonts w:hint="eastAsia" w:ascii="宋体" w:hAnsi="宋体" w:cs="宋体"/>
          <w:color w:val="auto"/>
          <w:spacing w:val="0"/>
          <w:w w:val="100"/>
          <w:kern w:val="0"/>
          <w:sz w:val="24"/>
          <w:szCs w:val="24"/>
          <w:highlight w:val="none"/>
          <w:lang w:val="en-US" w:eastAsia="zh-CN"/>
        </w:rPr>
        <w:t>3</w:t>
      </w:r>
      <w:r>
        <w:rPr>
          <w:rFonts w:hint="eastAsia" w:ascii="宋体" w:hAnsi="宋体" w:eastAsia="宋体" w:cs="宋体"/>
          <w:color w:val="auto"/>
          <w:spacing w:val="0"/>
          <w:w w:val="100"/>
          <w:kern w:val="0"/>
          <w:sz w:val="24"/>
          <w:szCs w:val="24"/>
          <w:highlight w:val="none"/>
          <w:lang w:val="zh-CN"/>
        </w:rPr>
        <w:t>年</w:t>
      </w:r>
      <w:r>
        <w:rPr>
          <w:rFonts w:hint="eastAsia" w:ascii="宋体" w:hAnsi="宋体" w:eastAsia="宋体" w:cs="宋体"/>
          <w:color w:val="auto"/>
          <w:spacing w:val="0"/>
          <w:w w:val="100"/>
          <w:kern w:val="0"/>
          <w:sz w:val="24"/>
          <w:szCs w:val="24"/>
          <w:highlight w:val="none"/>
          <w:lang w:val="zh-CN"/>
        </w:rPr>
        <w:t>。</w:t>
      </w:r>
    </w:p>
    <w:p w14:paraId="5EF49C51">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cs="宋体"/>
          <w:color w:val="auto"/>
          <w:spacing w:val="0"/>
          <w:w w:val="100"/>
          <w:kern w:val="0"/>
          <w:sz w:val="24"/>
          <w:szCs w:val="24"/>
          <w:highlight w:val="none"/>
          <w:lang w:val="en-US" w:eastAsia="zh-CN"/>
        </w:rPr>
        <w:t>2</w:t>
      </w:r>
      <w:r>
        <w:rPr>
          <w:rFonts w:hint="eastAsia" w:ascii="宋体" w:hAnsi="宋体" w:eastAsia="宋体" w:cs="宋体"/>
          <w:color w:val="auto"/>
          <w:spacing w:val="0"/>
          <w:w w:val="100"/>
          <w:kern w:val="0"/>
          <w:sz w:val="24"/>
          <w:szCs w:val="24"/>
          <w:highlight w:val="none"/>
          <w:lang w:val="zh-CN"/>
        </w:rPr>
        <w:t>、在质保期内，一旦发生质量问题，应在接到通知后的2小时内进行响应，并在24小时内组织人员到现场进行检修，确因产品本身质量问题的，将组织原厂人员进行维修、更换或退货处理，费用由中标供应商负责。产品出现故障48小时不能修复的，免费提供同等功能的产品供招标人使用，直至故障修复。</w:t>
      </w:r>
    </w:p>
    <w:p w14:paraId="1DA0A7C6">
      <w:pPr>
        <w:pageBreakBefore w:val="0"/>
        <w:autoSpaceDE w:val="0"/>
        <w:autoSpaceDN w:val="0"/>
        <w:bidi w:val="0"/>
        <w:adjustRightInd w:val="0"/>
        <w:snapToGrid w:val="0"/>
        <w:spacing w:line="360" w:lineRule="auto"/>
        <w:ind w:firstLine="480" w:firstLineChars="200"/>
        <w:contextualSpacing/>
        <w:rPr>
          <w:rFonts w:hint="eastAsia" w:ascii="宋体" w:hAnsi="宋体" w:eastAsia="宋体" w:cs="宋体"/>
          <w:color w:val="auto"/>
          <w:spacing w:val="0"/>
          <w:w w:val="100"/>
          <w:kern w:val="0"/>
          <w:sz w:val="24"/>
          <w:szCs w:val="24"/>
          <w:highlight w:val="none"/>
          <w:lang w:val="zh-CN"/>
        </w:rPr>
      </w:pPr>
      <w:r>
        <w:rPr>
          <w:rFonts w:hint="eastAsia" w:ascii="宋体" w:hAnsi="宋体" w:eastAsia="宋体" w:cs="宋体"/>
          <w:color w:val="auto"/>
          <w:spacing w:val="0"/>
          <w:w w:val="100"/>
          <w:kern w:val="0"/>
          <w:sz w:val="24"/>
          <w:szCs w:val="24"/>
          <w:highlight w:val="none"/>
          <w:lang w:val="zh-CN"/>
        </w:rPr>
        <w:t>3、质保期满后，能根据招标人要求提供充足的备品、备件，中标供应商对于货品维修只收取基本材料备件费，不收取服务费。质保期结束，不能视为中标供应商对货品中存在的可能引起货品损坏的潜在缺陷所应负责任的解除。潜在缺陷指货品在制造过程中未被发现的隐患，中标供应商对纠正潜在缺陷应负责任，其时间应延续至质保期终止后贰年。当发现这类潜在缺陷时（经双方确认），中标供应商应立即予以无偿修复或更换。</w:t>
      </w:r>
    </w:p>
    <w:p w14:paraId="719F8054">
      <w:pPr>
        <w:pStyle w:val="19"/>
        <w:rPr>
          <w:rFonts w:hint="eastAsia"/>
          <w:color w:val="auto"/>
          <w:highlight w:val="none"/>
        </w:rPr>
      </w:pPr>
    </w:p>
    <w:p w14:paraId="12DA1934">
      <w:pPr>
        <w:autoSpaceDE w:val="0"/>
        <w:autoSpaceDN w:val="0"/>
        <w:adjustRightInd w:val="0"/>
        <w:snapToGrid w:val="0"/>
        <w:spacing w:line="360" w:lineRule="auto"/>
        <w:jc w:val="center"/>
        <w:outlineLvl w:val="0"/>
        <w:rPr>
          <w:rFonts w:ascii="宋体" w:hAnsi="宋体" w:cs="宋体"/>
          <w:color w:val="auto"/>
          <w:kern w:val="0"/>
          <w:sz w:val="32"/>
          <w:szCs w:val="32"/>
          <w:highlight w:val="none"/>
        </w:rPr>
      </w:pPr>
      <w:r>
        <w:rPr>
          <w:rFonts w:hint="eastAsia" w:ascii="宋体" w:hAnsi="宋体" w:cs="宋体"/>
          <w:color w:val="auto"/>
          <w:kern w:val="0"/>
          <w:sz w:val="48"/>
          <w:szCs w:val="44"/>
          <w:highlight w:val="none"/>
        </w:rPr>
        <w:br w:type="page"/>
      </w:r>
      <w:bookmarkStart w:id="9" w:name="_Toc9732"/>
      <w:r>
        <w:rPr>
          <w:rFonts w:hint="eastAsia" w:ascii="宋体" w:hAnsi="宋体" w:cs="宋体"/>
          <w:b/>
          <w:color w:val="auto"/>
          <w:kern w:val="0"/>
          <w:sz w:val="32"/>
          <w:szCs w:val="32"/>
          <w:highlight w:val="none"/>
        </w:rPr>
        <w:t>第四章</w:t>
      </w:r>
      <w:bookmarkStart w:id="10" w:name="_Toc182848996"/>
      <w:bookmarkStart w:id="11" w:name="_Toc85627670"/>
      <w:bookmarkStart w:id="12" w:name="_Toc38121794"/>
      <w:bookmarkStart w:id="13" w:name="_Toc43217893"/>
      <w:bookmarkStart w:id="14" w:name="_Toc37322565"/>
      <w:r>
        <w:rPr>
          <w:rFonts w:hint="eastAsia" w:ascii="宋体" w:hAnsi="宋体" w:cs="宋体"/>
          <w:b/>
          <w:color w:val="auto"/>
          <w:kern w:val="0"/>
          <w:sz w:val="32"/>
          <w:szCs w:val="32"/>
          <w:highlight w:val="none"/>
        </w:rPr>
        <w:t xml:space="preserve"> 评审方法和程序</w:t>
      </w:r>
      <w:bookmarkEnd w:id="9"/>
      <w:bookmarkEnd w:id="10"/>
      <w:bookmarkEnd w:id="11"/>
      <w:bookmarkEnd w:id="12"/>
      <w:bookmarkEnd w:id="13"/>
      <w:bookmarkEnd w:id="14"/>
    </w:p>
    <w:p w14:paraId="25999416">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bookmarkStart w:id="15" w:name="_Toc363573857"/>
      <w:bookmarkEnd w:id="15"/>
      <w:r>
        <w:rPr>
          <w:rFonts w:hint="eastAsia" w:ascii="宋体" w:hAnsi="宋体" w:cs="宋体"/>
          <w:b/>
          <w:bCs/>
          <w:color w:val="auto"/>
          <w:szCs w:val="24"/>
          <w:highlight w:val="none"/>
          <w:shd w:val="clear" w:color="auto" w:fill="FFFFFF"/>
        </w:rPr>
        <w:t>一、代理机构组织磋商</w:t>
      </w:r>
    </w:p>
    <w:p w14:paraId="56AF73B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1、本次竞争性磋商依据</w:t>
      </w:r>
      <w:r>
        <w:rPr>
          <w:rFonts w:hint="eastAsia" w:ascii="宋体" w:hAnsi="宋体" w:cs="宋体"/>
          <w:color w:val="auto"/>
          <w:kern w:val="0"/>
          <w:sz w:val="24"/>
          <w:szCs w:val="24"/>
          <w:highlight w:val="none"/>
          <w:lang w:val="en-US" w:eastAsia="zh-CN"/>
        </w:rPr>
        <w:t>相关</w:t>
      </w:r>
      <w:r>
        <w:rPr>
          <w:rFonts w:hint="eastAsia" w:ascii="宋体" w:hAnsi="宋体" w:cs="宋体"/>
          <w:color w:val="auto"/>
          <w:kern w:val="0"/>
          <w:sz w:val="24"/>
          <w:szCs w:val="24"/>
          <w:highlight w:val="none"/>
        </w:rPr>
        <w:t>法规成立磋商小组。磋商小组由采购人代表和评审专家共3人以上单数组成，其中评审专家人数不得少于磋商小组成员总数的三分之二。</w:t>
      </w:r>
    </w:p>
    <w:p w14:paraId="1282B637">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2、磋商小组的职责：</w:t>
      </w:r>
    </w:p>
    <w:p w14:paraId="6FBA81FC">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（1）磋商小组成员应当按照客观、公正、审慎的原则，根据磋商文件规定的评审程序、评审方法和评审标准进行独立评审。</w:t>
      </w:r>
    </w:p>
    <w:p w14:paraId="01200B5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（2）磋商小组成员应当遵守评审工作纪律，不得泄露评审情况和评审中获悉的商业秘密，对个人的评审意见承担法律责任；</w:t>
      </w:r>
    </w:p>
    <w:p w14:paraId="04FE065C">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（3）磋商小组成员在评审过程中发现供应商有行贿、提供虚假材料或者串通等违法行为的，应当及时向</w:t>
      </w:r>
      <w:r>
        <w:rPr>
          <w:rFonts w:hint="eastAsia" w:ascii="宋体" w:hAnsi="宋体" w:cs="宋体"/>
          <w:color w:val="auto"/>
          <w:kern w:val="0"/>
          <w:sz w:val="24"/>
          <w:szCs w:val="24"/>
          <w:highlight w:val="none"/>
          <w:lang w:val="en-US" w:eastAsia="zh-CN"/>
        </w:rPr>
        <w:t>有关</w:t>
      </w:r>
      <w:r>
        <w:rPr>
          <w:rFonts w:hint="eastAsia" w:ascii="宋体" w:hAnsi="宋体" w:cs="宋体"/>
          <w:color w:val="auto"/>
          <w:kern w:val="0"/>
          <w:sz w:val="24"/>
          <w:szCs w:val="24"/>
          <w:highlight w:val="none"/>
        </w:rPr>
        <w:t>部门报告。</w:t>
      </w:r>
    </w:p>
    <w:p w14:paraId="25ED2FC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（4）磋商小组成员在评审过程中受到非法干涉的，应当及时向有关部门举报。</w:t>
      </w:r>
    </w:p>
    <w:p w14:paraId="4ED3070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（5）配合采购单位答复供应商提出的质疑；配合有关部门的投诉处理和监督检查工作。</w:t>
      </w:r>
    </w:p>
    <w:p w14:paraId="326365B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2、评审有关记录由磋商小组成员签名，存档备查。</w:t>
      </w:r>
    </w:p>
    <w:p w14:paraId="233D49D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3、供应商的法定代表人或被授权人须持身份证准时参加磋商开标会。</w:t>
      </w:r>
    </w:p>
    <w:p w14:paraId="12B3560F">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二、磋商的原则及方法</w:t>
      </w:r>
    </w:p>
    <w:p w14:paraId="58B77A0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1、磋商小组依据有关采购的相关法规，遵循“公开、公平、公正、择优、信用”的原则进行磋商评审。</w:t>
      </w:r>
    </w:p>
    <w:p w14:paraId="463CC432">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2、磋商小组将按照竞争性磋商文件的规定，独立对每个进入打分程序的有效投标供应商的响应文件的技术部分以打分的形式进行评审和评价。技术分取算术平均值（计算结果均四舍五入保留两位小数）。</w:t>
      </w:r>
    </w:p>
    <w:p w14:paraId="5C9C9C25">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048E48F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4、磋商文件能够详细列明采购货物的技术、服务要求的，磋商结束后，磋商小组应当要求所有实质性响应的供应商在规定时间内提交最后报价，提交最后报价的供应商不得少于3家。</w:t>
      </w:r>
    </w:p>
    <w:p w14:paraId="6765FE4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1DFEF44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5、已提交响应文件的供应商，在提交最后报价之前，可以根据磋商情况退出磋商。</w:t>
      </w:r>
    </w:p>
    <w:p w14:paraId="465EB6C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4BB7A7AB">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三、磋商评定结果的方法</w:t>
      </w:r>
    </w:p>
    <w:p w14:paraId="01E2173C">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b/>
          <w:color w:val="auto"/>
          <w:kern w:val="0"/>
          <w:sz w:val="24"/>
          <w:szCs w:val="24"/>
          <w:highlight w:val="none"/>
          <w:u w:val="single"/>
        </w:rPr>
        <w:t>经磋商确定最终采购需求和提交最后报价的供应商后，</w:t>
      </w:r>
      <w:r>
        <w:rPr>
          <w:rFonts w:hint="eastAsia" w:ascii="宋体" w:hAnsi="宋体" w:cs="宋体"/>
          <w:color w:val="auto"/>
          <w:kern w:val="0"/>
          <w:sz w:val="24"/>
          <w:szCs w:val="24"/>
          <w:highlight w:val="none"/>
        </w:rPr>
        <w:t>由磋商小组采用综合评分法</w:t>
      </w:r>
      <w:r>
        <w:rPr>
          <w:rFonts w:hint="eastAsia" w:ascii="宋体" w:hAnsi="宋体" w:cs="宋体"/>
          <w:b/>
          <w:color w:val="auto"/>
          <w:kern w:val="0"/>
          <w:sz w:val="24"/>
          <w:szCs w:val="24"/>
          <w:highlight w:val="none"/>
          <w:u w:val="single"/>
        </w:rPr>
        <w:t>对提交最后报价的供应商的响应文件和最后报价</w:t>
      </w:r>
      <w:r>
        <w:rPr>
          <w:rFonts w:hint="eastAsia" w:ascii="宋体" w:hAnsi="宋体" w:cs="宋体"/>
          <w:color w:val="auto"/>
          <w:kern w:val="0"/>
          <w:sz w:val="24"/>
          <w:szCs w:val="24"/>
          <w:highlight w:val="none"/>
        </w:rPr>
        <w:t>进行综合评分。</w:t>
      </w:r>
    </w:p>
    <w:p w14:paraId="6F251AAD">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2、评审时，磋商小组各成员应当独立对每个有效响应的文件进行评价、打分，然后汇总每个供应商每项评分因素的得分（计算结果均四舍五入保留两位小数）。</w:t>
      </w:r>
    </w:p>
    <w:p w14:paraId="014317A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3、本次项目磋商的技术和商务报价评审总分值为100分。两部分评审因素比重如下：</w:t>
      </w:r>
    </w:p>
    <w:p w14:paraId="7598F04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技术分值占总分值的比重为</w:t>
      </w:r>
      <w:r>
        <w:rPr>
          <w:rFonts w:hint="eastAsia" w:ascii="宋体" w:hAnsi="宋体" w:cs="宋体"/>
          <w:b/>
          <w:color w:val="auto"/>
          <w:kern w:val="0"/>
          <w:sz w:val="24"/>
          <w:szCs w:val="24"/>
          <w:highlight w:val="none"/>
          <w:u w:val="single"/>
          <w:lang w:val="en-US" w:eastAsia="zh-CN"/>
        </w:rPr>
        <w:t>7</w:t>
      </w:r>
      <w:r>
        <w:rPr>
          <w:rFonts w:hint="eastAsia" w:ascii="宋体" w:hAnsi="宋体" w:cs="宋体"/>
          <w:b/>
          <w:color w:val="auto"/>
          <w:kern w:val="0"/>
          <w:sz w:val="24"/>
          <w:szCs w:val="24"/>
          <w:highlight w:val="none"/>
          <w:u w:val="single"/>
        </w:rPr>
        <w:t>0%（权重）</w:t>
      </w:r>
      <w:r>
        <w:rPr>
          <w:rFonts w:hint="eastAsia" w:ascii="宋体" w:hAnsi="宋体" w:cs="宋体"/>
          <w:color w:val="auto"/>
          <w:kern w:val="0"/>
          <w:sz w:val="24"/>
          <w:szCs w:val="24"/>
          <w:highlight w:val="none"/>
        </w:rPr>
        <w:t>（四舍五入保留两位小数）；</w:t>
      </w:r>
    </w:p>
    <w:p w14:paraId="08CC748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商务报价分值占总分值的比重为</w:t>
      </w:r>
      <w:r>
        <w:rPr>
          <w:rFonts w:hint="eastAsia" w:ascii="宋体" w:hAnsi="宋体" w:cs="宋体"/>
          <w:b/>
          <w:color w:val="auto"/>
          <w:kern w:val="0"/>
          <w:sz w:val="24"/>
          <w:szCs w:val="24"/>
          <w:highlight w:val="none"/>
          <w:u w:val="single"/>
          <w:lang w:val="en-US" w:eastAsia="zh-CN"/>
        </w:rPr>
        <w:t>3</w:t>
      </w:r>
      <w:r>
        <w:rPr>
          <w:rFonts w:hint="eastAsia" w:ascii="宋体" w:hAnsi="宋体" w:cs="宋体"/>
          <w:b/>
          <w:color w:val="auto"/>
          <w:kern w:val="0"/>
          <w:sz w:val="24"/>
          <w:szCs w:val="24"/>
          <w:highlight w:val="none"/>
          <w:u w:val="single"/>
        </w:rPr>
        <w:t>0%（权重）</w:t>
      </w:r>
      <w:r>
        <w:rPr>
          <w:rFonts w:hint="eastAsia" w:ascii="宋体" w:hAnsi="宋体" w:cs="宋体"/>
          <w:color w:val="auto"/>
          <w:kern w:val="0"/>
          <w:sz w:val="24"/>
          <w:szCs w:val="24"/>
          <w:highlight w:val="none"/>
        </w:rPr>
        <w:t>（四舍五入保留两位小数）。</w:t>
      </w:r>
    </w:p>
    <w:p w14:paraId="6448EA77">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4、技术分按算术平均值计算，分值四舍五入保留两位小数。</w:t>
      </w:r>
    </w:p>
    <w:p w14:paraId="0FE236D5">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5、商务报价分统一采用低价优先法计算直接取得，与技术分相加为供应商的综合得分（四舍五入保留两位小数）。</w:t>
      </w:r>
    </w:p>
    <w:p w14:paraId="5E4A1BE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6、磋商小组应当根据综合评分情况，按照评审得分由高到低顺序推荐3名以上成交候选供应商，并编写评审报告。</w:t>
      </w:r>
      <w:r>
        <w:rPr>
          <w:rFonts w:hint="eastAsia" w:ascii="宋体" w:hAnsi="宋体" w:cs="宋体"/>
          <w:b/>
          <w:color w:val="auto"/>
          <w:kern w:val="0"/>
          <w:sz w:val="24"/>
          <w:highlight w:val="none"/>
        </w:rPr>
        <w:t>采购人授权磋商小组在成交候选供应商中直接确定成交供应商。</w:t>
      </w:r>
    </w:p>
    <w:p w14:paraId="236366F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7、确定成交候选人的特殊情况处理：</w:t>
      </w:r>
    </w:p>
    <w:p w14:paraId="446EC49C">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（1）评审得分相同时，按照最后报价由低到高的顺序推荐。</w:t>
      </w:r>
    </w:p>
    <w:p w14:paraId="5498EA87">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（2）评审得分且最终报价相同的，按照技术指标优劣顺序推荐。</w:t>
      </w:r>
    </w:p>
    <w:p w14:paraId="6190112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8、磋商评审时，评委对评审的细则若有争议，由磋商小组集体讨论确定，并对未尽情况有最终解释权。</w:t>
      </w:r>
    </w:p>
    <w:p w14:paraId="6B3A4952">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9、对落标的供应商不做落标原因的解释。</w:t>
      </w:r>
    </w:p>
    <w:p w14:paraId="7BE8F5EC">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四、综合评分评审标准</w:t>
      </w:r>
    </w:p>
    <w:p w14:paraId="3211CEFE">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（一）技术分：（</w:t>
      </w:r>
      <w:r>
        <w:rPr>
          <w:rFonts w:hint="eastAsia" w:ascii="宋体" w:hAnsi="宋体" w:cs="宋体"/>
          <w:b/>
          <w:bCs/>
          <w:color w:val="auto"/>
          <w:szCs w:val="24"/>
          <w:highlight w:val="none"/>
          <w:shd w:val="clear" w:color="auto" w:fill="FFFFFF"/>
          <w:lang w:val="en-US" w:eastAsia="zh-CN"/>
        </w:rPr>
        <w:t>7</w:t>
      </w:r>
      <w:r>
        <w:rPr>
          <w:rFonts w:hint="eastAsia" w:ascii="宋体" w:hAnsi="宋体" w:cs="宋体"/>
          <w:b/>
          <w:bCs/>
          <w:color w:val="auto"/>
          <w:szCs w:val="24"/>
          <w:highlight w:val="none"/>
          <w:shd w:val="clear" w:color="auto" w:fill="FFFFFF"/>
        </w:rPr>
        <w:t>0分）</w:t>
      </w:r>
    </w:p>
    <w:tbl>
      <w:tblPr>
        <w:tblStyle w:val="47"/>
        <w:tblW w:w="9562" w:type="dxa"/>
        <w:jc w:val="center"/>
        <w:tblLayout w:type="fixed"/>
        <w:tblCellMar>
          <w:top w:w="0" w:type="dxa"/>
          <w:left w:w="108" w:type="dxa"/>
          <w:bottom w:w="0" w:type="dxa"/>
          <w:right w:w="108" w:type="dxa"/>
        </w:tblCellMar>
      </w:tblPr>
      <w:tblGrid>
        <w:gridCol w:w="596"/>
        <w:gridCol w:w="1270"/>
        <w:gridCol w:w="6761"/>
        <w:gridCol w:w="935"/>
      </w:tblGrid>
      <w:tr w14:paraId="0BDF794F">
        <w:tblPrEx>
          <w:tblCellMar>
            <w:top w:w="0" w:type="dxa"/>
            <w:left w:w="108" w:type="dxa"/>
            <w:bottom w:w="0" w:type="dxa"/>
            <w:right w:w="108"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noWrap/>
            <w:vAlign w:val="center"/>
          </w:tcPr>
          <w:p w14:paraId="476E32F8">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270"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3B7F2C4F">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评审内容</w:t>
            </w:r>
          </w:p>
        </w:tc>
        <w:tc>
          <w:tcPr>
            <w:tcW w:w="6761"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27B50F49">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评审细则</w:t>
            </w:r>
          </w:p>
        </w:tc>
        <w:tc>
          <w:tcPr>
            <w:tcW w:w="935" w:type="dxa"/>
            <w:tcBorders>
              <w:top w:val="single" w:color="000000" w:sz="4" w:space="0"/>
              <w:left w:val="nil"/>
              <w:bottom w:val="single" w:color="000000" w:sz="4" w:space="0"/>
              <w:right w:val="single" w:color="000000" w:sz="4" w:space="0"/>
            </w:tcBorders>
            <w:shd w:val="clear" w:color="auto" w:fill="DCE6F2" w:themeFill="accent1" w:themeFillTint="32"/>
            <w:noWrap/>
            <w:vAlign w:val="center"/>
          </w:tcPr>
          <w:p w14:paraId="4B0E5532">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r>
      <w:tr w14:paraId="350A18B4">
        <w:tblPrEx>
          <w:tblCellMar>
            <w:top w:w="0" w:type="dxa"/>
            <w:left w:w="108" w:type="dxa"/>
            <w:bottom w:w="0" w:type="dxa"/>
            <w:right w:w="108" w:type="dxa"/>
          </w:tblCellMar>
        </w:tblPrEx>
        <w:trPr>
          <w:trHeight w:val="1833"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6804">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70" w:type="dxa"/>
            <w:tcBorders>
              <w:top w:val="single" w:color="000000" w:sz="4" w:space="0"/>
              <w:left w:val="nil"/>
              <w:bottom w:val="single" w:color="000000" w:sz="4" w:space="0"/>
              <w:right w:val="single" w:color="000000" w:sz="4" w:space="0"/>
            </w:tcBorders>
            <w:shd w:val="clear" w:color="auto" w:fill="auto"/>
            <w:noWrap/>
            <w:vAlign w:val="center"/>
          </w:tcPr>
          <w:p w14:paraId="5E25B8FF">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项目需求响应（</w:t>
            </w:r>
            <w:r>
              <w:rPr>
                <w:rFonts w:hint="eastAsia" w:ascii="宋体" w:hAnsi="宋体" w:cs="宋体"/>
                <w:color w:val="auto"/>
                <w:kern w:val="0"/>
                <w:sz w:val="24"/>
                <w:szCs w:val="24"/>
                <w:highlight w:val="none"/>
                <w:lang w:val="en-US" w:eastAsia="zh-CN"/>
              </w:rPr>
              <w:t>46分</w:t>
            </w:r>
            <w:r>
              <w:rPr>
                <w:rFonts w:hint="eastAsia" w:ascii="宋体" w:hAnsi="宋体" w:cs="宋体"/>
                <w:color w:val="auto"/>
                <w:kern w:val="0"/>
                <w:sz w:val="24"/>
                <w:szCs w:val="24"/>
                <w:highlight w:val="none"/>
                <w:lang w:eastAsia="zh-CN"/>
              </w:rPr>
              <w:t>）</w:t>
            </w:r>
          </w:p>
        </w:tc>
        <w:tc>
          <w:tcPr>
            <w:tcW w:w="6761" w:type="dxa"/>
            <w:tcBorders>
              <w:top w:val="single" w:color="000000" w:sz="4" w:space="0"/>
              <w:left w:val="nil"/>
              <w:bottom w:val="single" w:color="000000" w:sz="4" w:space="0"/>
              <w:right w:val="single" w:color="000000" w:sz="4" w:space="0"/>
            </w:tcBorders>
            <w:shd w:val="clear" w:color="auto" w:fill="auto"/>
            <w:noWrap/>
            <w:vAlign w:val="center"/>
          </w:tcPr>
          <w:p w14:paraId="5023287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完全满足招标文件项目需求的得</w:t>
            </w:r>
            <w:r>
              <w:rPr>
                <w:rFonts w:hint="eastAsia" w:ascii="宋体" w:hAnsi="宋体" w:cs="宋体"/>
                <w:color w:val="auto"/>
                <w:sz w:val="24"/>
                <w:szCs w:val="24"/>
                <w:highlight w:val="none"/>
                <w:lang w:val="en-US" w:eastAsia="zh-CN"/>
              </w:rPr>
              <w:t>46</w:t>
            </w:r>
            <w:r>
              <w:rPr>
                <w:rFonts w:hint="eastAsia" w:ascii="宋体" w:hAnsi="宋体" w:cs="宋体"/>
                <w:color w:val="auto"/>
                <w:sz w:val="24"/>
                <w:szCs w:val="24"/>
                <w:highlight w:val="none"/>
              </w:rPr>
              <w:t>分；在此基础上，招标文件中标注★号指标为关键性技术参数，有一项负偏离扣2分；标注▲号指标为重要技术参数，有一项负偏离扣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分；其余非★号▲号指标，有一项负偏离扣</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分，扣完为止。</w:t>
            </w:r>
          </w:p>
          <w:p w14:paraId="163988E8">
            <w:pPr>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注：需提供《技术</w:t>
            </w:r>
            <w:r>
              <w:rPr>
                <w:rFonts w:hint="eastAsia" w:ascii="宋体" w:hAnsi="宋体" w:cs="宋体"/>
                <w:color w:val="auto"/>
                <w:sz w:val="24"/>
                <w:szCs w:val="24"/>
                <w:highlight w:val="none"/>
                <w:lang w:val="en-US" w:eastAsia="zh-CN"/>
              </w:rPr>
              <w:t>部分正负</w:t>
            </w:r>
            <w:r>
              <w:rPr>
                <w:rFonts w:hint="eastAsia" w:ascii="宋体" w:hAnsi="宋体" w:cs="宋体"/>
                <w:color w:val="auto"/>
                <w:sz w:val="24"/>
                <w:szCs w:val="24"/>
                <w:highlight w:val="none"/>
              </w:rPr>
              <w:t>偏离表》及项目需求技术参数中要求提供的相关证明材料，如未提供相应证明材料的或提供证明材料不符合要求的，磋商小组作负偏离处理。</w:t>
            </w:r>
          </w:p>
        </w:tc>
        <w:tc>
          <w:tcPr>
            <w:tcW w:w="935" w:type="dxa"/>
            <w:tcBorders>
              <w:top w:val="single" w:color="000000" w:sz="4" w:space="0"/>
              <w:left w:val="nil"/>
              <w:bottom w:val="single" w:color="000000" w:sz="4" w:space="0"/>
              <w:right w:val="single" w:color="000000" w:sz="4" w:space="0"/>
            </w:tcBorders>
            <w:shd w:val="clear" w:color="auto" w:fill="auto"/>
            <w:noWrap/>
            <w:vAlign w:val="center"/>
          </w:tcPr>
          <w:p w14:paraId="0B0399F3">
            <w:pPr>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46分</w:t>
            </w:r>
          </w:p>
        </w:tc>
      </w:tr>
      <w:tr w14:paraId="04D17D92">
        <w:tblPrEx>
          <w:tblCellMar>
            <w:top w:w="0" w:type="dxa"/>
            <w:left w:w="108" w:type="dxa"/>
            <w:bottom w:w="0" w:type="dxa"/>
            <w:right w:w="108"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noWrap/>
            <w:vAlign w:val="center"/>
          </w:tcPr>
          <w:p w14:paraId="1F803C1C">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270" w:type="dxa"/>
            <w:tcBorders>
              <w:top w:val="single" w:color="000000" w:sz="4" w:space="0"/>
              <w:left w:val="nil"/>
              <w:bottom w:val="single" w:color="000000" w:sz="4" w:space="0"/>
              <w:right w:val="single" w:color="000000" w:sz="4" w:space="0"/>
            </w:tcBorders>
            <w:noWrap/>
            <w:vAlign w:val="center"/>
          </w:tcPr>
          <w:p w14:paraId="7D978FDD">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人员配置及现场管理方案（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6761" w:type="dxa"/>
            <w:tcBorders>
              <w:top w:val="single" w:color="000000" w:sz="4" w:space="0"/>
              <w:left w:val="nil"/>
              <w:bottom w:val="single" w:color="000000" w:sz="4" w:space="0"/>
              <w:right w:val="single" w:color="000000" w:sz="4" w:space="0"/>
            </w:tcBorders>
            <w:noWrap/>
            <w:vAlign w:val="center"/>
          </w:tcPr>
          <w:p w14:paraId="564A4664">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提供项目拟派</w:t>
            </w:r>
            <w:r>
              <w:rPr>
                <w:rFonts w:hint="eastAsia" w:ascii="宋体" w:hAnsi="宋体" w:cs="宋体"/>
                <w:color w:val="auto"/>
                <w:sz w:val="24"/>
                <w:szCs w:val="24"/>
                <w:highlight w:val="none"/>
                <w:lang w:val="en-US" w:eastAsia="zh-CN"/>
              </w:rPr>
              <w:t>人员</w:t>
            </w:r>
            <w:r>
              <w:rPr>
                <w:rFonts w:hint="eastAsia" w:ascii="宋体" w:hAnsi="宋体" w:cs="宋体"/>
                <w:color w:val="auto"/>
                <w:sz w:val="24"/>
                <w:szCs w:val="24"/>
                <w:highlight w:val="none"/>
              </w:rPr>
              <w:t>花名册综合评定，本项最高得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6191CE8D">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拟派技术人员多，职责分工明确，管理方案全面清晰、科学合理，符合或优于项目需求，得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78DA9207">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拟派技术人员人数一般，职责分工较明确，管理方案较全面清晰、较科学合理，基本符合项目需求，得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49500FD3">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拟派技术人员人数少，没有职责分工，管理方案简单笼统，得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37CC1DA0">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不符合项目需求或未提供的不得分。</w:t>
            </w:r>
          </w:p>
          <w:p w14:paraId="12904938">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提供以上人员的学历证书及相关证书复印件及供应商为其缴纳的2025年</w:t>
            </w:r>
            <w:r>
              <w:rPr>
                <w:rFonts w:hint="eastAsia" w:ascii="宋体" w:hAnsi="宋体" w:cs="宋体"/>
                <w:b/>
                <w:bCs/>
                <w:color w:val="auto"/>
                <w:sz w:val="24"/>
                <w:szCs w:val="24"/>
                <w:highlight w:val="none"/>
                <w:lang w:val="en-US" w:eastAsia="zh-CN"/>
              </w:rPr>
              <w:t>07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份</w:t>
            </w:r>
            <w:r>
              <w:rPr>
                <w:rFonts w:hint="eastAsia" w:ascii="宋体" w:hAnsi="宋体" w:cs="宋体"/>
                <w:b/>
                <w:bCs/>
                <w:color w:val="auto"/>
                <w:sz w:val="24"/>
                <w:szCs w:val="24"/>
                <w:highlight w:val="none"/>
              </w:rPr>
              <w:t>以来任意1个月的社保证明文件，不提供不得分</w:t>
            </w:r>
            <w:r>
              <w:rPr>
                <w:rFonts w:hint="eastAsia" w:ascii="宋体" w:hAnsi="宋体" w:cs="宋体"/>
                <w:color w:val="auto"/>
                <w:sz w:val="24"/>
                <w:szCs w:val="24"/>
                <w:highlight w:val="none"/>
              </w:rPr>
              <w:t>】。</w:t>
            </w:r>
          </w:p>
        </w:tc>
        <w:tc>
          <w:tcPr>
            <w:tcW w:w="935" w:type="dxa"/>
            <w:tcBorders>
              <w:top w:val="single" w:color="000000" w:sz="4" w:space="0"/>
              <w:left w:val="nil"/>
              <w:bottom w:val="single" w:color="000000" w:sz="4" w:space="0"/>
              <w:right w:val="single" w:color="000000" w:sz="4" w:space="0"/>
            </w:tcBorders>
            <w:noWrap/>
            <w:vAlign w:val="center"/>
          </w:tcPr>
          <w:p w14:paraId="21AE7061">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r>
      <w:tr w14:paraId="6F0A0F5E">
        <w:tblPrEx>
          <w:tblCellMar>
            <w:top w:w="0" w:type="dxa"/>
            <w:left w:w="108" w:type="dxa"/>
            <w:bottom w:w="0" w:type="dxa"/>
            <w:right w:w="108"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noWrap/>
            <w:vAlign w:val="center"/>
          </w:tcPr>
          <w:p w14:paraId="5CB737FA">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270" w:type="dxa"/>
            <w:tcBorders>
              <w:top w:val="single" w:color="000000" w:sz="4" w:space="0"/>
              <w:left w:val="nil"/>
              <w:bottom w:val="single" w:color="000000" w:sz="4" w:space="0"/>
              <w:right w:val="single" w:color="000000" w:sz="4" w:space="0"/>
            </w:tcBorders>
            <w:noWrap/>
            <w:vAlign w:val="center"/>
          </w:tcPr>
          <w:p w14:paraId="1CD3DD61">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w:t>
            </w:r>
          </w:p>
          <w:p w14:paraId="24AFC936">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c>
          <w:tcPr>
            <w:tcW w:w="6761" w:type="dxa"/>
            <w:tcBorders>
              <w:top w:val="single" w:color="000000" w:sz="4" w:space="0"/>
              <w:left w:val="nil"/>
              <w:bottom w:val="single" w:color="000000" w:sz="4" w:space="0"/>
              <w:right w:val="single" w:color="000000" w:sz="4" w:space="0"/>
            </w:tcBorders>
            <w:noWrap/>
            <w:vAlign w:val="center"/>
          </w:tcPr>
          <w:p w14:paraId="5F2013A2">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由评委根据各供应商</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方案进行评审。</w:t>
            </w:r>
          </w:p>
          <w:p w14:paraId="507F3F23">
            <w:pPr>
              <w:numPr>
                <w:ilvl w:val="0"/>
                <w:numId w:val="2"/>
              </w:numPr>
              <w:adjustRightInd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磋商响应</w:t>
            </w:r>
            <w:r>
              <w:rPr>
                <w:rFonts w:hint="eastAsia" w:ascii="宋体" w:hAnsi="宋体" w:cs="宋体"/>
                <w:color w:val="auto"/>
                <w:sz w:val="24"/>
                <w:szCs w:val="24"/>
                <w:highlight w:val="none"/>
              </w:rPr>
              <w:t>文件</w:t>
            </w:r>
            <w:r>
              <w:rPr>
                <w:rFonts w:hint="eastAsia" w:ascii="宋体" w:hAnsi="宋体" w:cs="宋体"/>
                <w:color w:val="auto"/>
                <w:sz w:val="24"/>
                <w:szCs w:val="24"/>
                <w:highlight w:val="none"/>
              </w:rPr>
              <w:t>中需详细针对性描述系统功能，体现对</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需求的技术和实施理解进行综合打分</w:t>
            </w:r>
            <w:r>
              <w:rPr>
                <w:rFonts w:hint="eastAsia" w:ascii="宋体" w:hAnsi="宋体" w:cs="宋体"/>
                <w:color w:val="auto"/>
                <w:sz w:val="24"/>
                <w:szCs w:val="24"/>
                <w:highlight w:val="none"/>
                <w:lang w:eastAsia="zh-CN"/>
              </w:rPr>
              <w:t>。</w:t>
            </w:r>
          </w:p>
          <w:p w14:paraId="2C55496A">
            <w:pPr>
              <w:numPr>
                <w:ilvl w:val="0"/>
                <w:numId w:val="0"/>
              </w:numPr>
              <w:adjustRightInd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方案具体详细、科学合理得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60FFB60B">
            <w:pPr>
              <w:numPr>
                <w:ilvl w:val="0"/>
                <w:numId w:val="0"/>
              </w:numPr>
              <w:adjustRightInd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方案较详细、合理得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643E6F32">
            <w:pPr>
              <w:numPr>
                <w:ilvl w:val="0"/>
                <w:numId w:val="0"/>
              </w:numPr>
              <w:adjustRightInd w:val="0"/>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方案基本详细合理的得1分</w:t>
            </w:r>
            <w:r>
              <w:rPr>
                <w:rFonts w:hint="eastAsia" w:ascii="宋体" w:hAnsi="宋体" w:cs="宋体"/>
                <w:color w:val="auto"/>
                <w:sz w:val="24"/>
                <w:szCs w:val="24"/>
                <w:highlight w:val="none"/>
                <w:lang w:eastAsia="zh-CN"/>
              </w:rPr>
              <w:t>；</w:t>
            </w:r>
          </w:p>
          <w:p w14:paraId="69B1D92C">
            <w:pPr>
              <w:numPr>
                <w:ilvl w:val="0"/>
                <w:numId w:val="0"/>
              </w:num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方案完全不合理或者未描述的得0分。</w:t>
            </w:r>
          </w:p>
          <w:p w14:paraId="3B4E3B1C">
            <w:pPr>
              <w:numPr>
                <w:ilvl w:val="0"/>
                <w:numId w:val="2"/>
              </w:numPr>
              <w:adjustRightInd w:val="0"/>
              <w:snapToGrid w:val="0"/>
              <w:spacing w:line="360" w:lineRule="auto"/>
              <w:ind w:left="0" w:leftChars="0" w:firstLine="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评委对投标人的施工组织设计、施工工艺流程进行综合评价：</w:t>
            </w:r>
          </w:p>
          <w:p w14:paraId="4DF71201">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方案具体详细、科学合理得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3CE9AE2E">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方案较详细、合理得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2B5C7F76">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方案基本详细合理的得1分</w:t>
            </w:r>
            <w:r>
              <w:rPr>
                <w:rFonts w:hint="eastAsia" w:ascii="宋体" w:hAnsi="宋体" w:cs="宋体"/>
                <w:color w:val="auto"/>
                <w:sz w:val="24"/>
                <w:szCs w:val="24"/>
                <w:highlight w:val="none"/>
                <w:lang w:eastAsia="zh-CN"/>
              </w:rPr>
              <w:t>；</w:t>
            </w:r>
          </w:p>
          <w:p w14:paraId="67F74142">
            <w:pPr>
              <w:numPr>
                <w:ilvl w:val="0"/>
                <w:numId w:val="0"/>
              </w:numPr>
              <w:adjustRightInd w:val="0"/>
              <w:snapToGrid w:val="0"/>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rPr>
              <w:t>方案完全不合理或者未描述的得0分。</w:t>
            </w:r>
          </w:p>
          <w:p w14:paraId="6A93747A">
            <w:pPr>
              <w:numPr>
                <w:ilvl w:val="0"/>
                <w:numId w:val="2"/>
              </w:numPr>
              <w:adjustRightInd w:val="0"/>
              <w:snapToGrid w:val="0"/>
              <w:spacing w:line="360" w:lineRule="auto"/>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评委对投标人的供货安装调试进度计划、质量保证措施进行综合评价：</w:t>
            </w:r>
          </w:p>
          <w:p w14:paraId="5BB109C4">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方案具体详细、科学合理得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5641F17D">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方案较详细、合理得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5E3DA448">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方案基本详细合理的得1分</w:t>
            </w:r>
            <w:r>
              <w:rPr>
                <w:rFonts w:hint="eastAsia" w:ascii="宋体" w:hAnsi="宋体" w:cs="宋体"/>
                <w:color w:val="auto"/>
                <w:sz w:val="24"/>
                <w:szCs w:val="24"/>
                <w:highlight w:val="none"/>
                <w:lang w:eastAsia="zh-CN"/>
              </w:rPr>
              <w:t>；</w:t>
            </w:r>
          </w:p>
          <w:p w14:paraId="363F3AB3">
            <w:pPr>
              <w:numPr>
                <w:ilvl w:val="0"/>
                <w:numId w:val="0"/>
              </w:numPr>
              <w:adjustRightInd w:val="0"/>
              <w:snapToGrid w:val="0"/>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rPr>
              <w:t>方案完全不合理或者未描述的得0分。</w:t>
            </w:r>
          </w:p>
        </w:tc>
        <w:tc>
          <w:tcPr>
            <w:tcW w:w="935" w:type="dxa"/>
            <w:tcBorders>
              <w:top w:val="single" w:color="000000" w:sz="4" w:space="0"/>
              <w:left w:val="nil"/>
              <w:bottom w:val="single" w:color="000000" w:sz="4" w:space="0"/>
              <w:right w:val="single" w:color="000000" w:sz="4" w:space="0"/>
            </w:tcBorders>
            <w:noWrap/>
            <w:vAlign w:val="center"/>
          </w:tcPr>
          <w:p w14:paraId="0E1EEA9A">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r>
      <w:tr w14:paraId="7AE0513A">
        <w:tblPrEx>
          <w:tblCellMar>
            <w:top w:w="0" w:type="dxa"/>
            <w:left w:w="108" w:type="dxa"/>
            <w:bottom w:w="0" w:type="dxa"/>
            <w:right w:w="108" w:type="dxa"/>
          </w:tblCellMar>
        </w:tblPrEx>
        <w:trPr>
          <w:jc w:val="center"/>
        </w:trPr>
        <w:tc>
          <w:tcPr>
            <w:tcW w:w="596" w:type="dxa"/>
            <w:tcBorders>
              <w:top w:val="single" w:color="000000" w:sz="4" w:space="0"/>
              <w:left w:val="single" w:color="000000" w:sz="4" w:space="0"/>
              <w:bottom w:val="single" w:color="000000" w:sz="4" w:space="0"/>
              <w:right w:val="single" w:color="000000" w:sz="4" w:space="0"/>
            </w:tcBorders>
            <w:noWrap/>
            <w:vAlign w:val="center"/>
          </w:tcPr>
          <w:p w14:paraId="2656C38E">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270" w:type="dxa"/>
            <w:tcBorders>
              <w:top w:val="single" w:color="000000" w:sz="4" w:space="0"/>
              <w:left w:val="nil"/>
              <w:bottom w:val="single" w:color="000000" w:sz="4" w:space="0"/>
              <w:right w:val="single" w:color="000000" w:sz="4" w:space="0"/>
            </w:tcBorders>
            <w:noWrap/>
            <w:vAlign w:val="center"/>
          </w:tcPr>
          <w:p w14:paraId="4D1369A8">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售后服务方案</w:t>
            </w:r>
          </w:p>
          <w:p w14:paraId="00345456">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tc>
        <w:tc>
          <w:tcPr>
            <w:tcW w:w="6761" w:type="dxa"/>
            <w:tcBorders>
              <w:top w:val="single" w:color="000000" w:sz="4" w:space="0"/>
              <w:left w:val="nil"/>
              <w:bottom w:val="single" w:color="000000" w:sz="4" w:space="0"/>
              <w:right w:val="single" w:color="000000" w:sz="4" w:space="0"/>
            </w:tcBorders>
            <w:noWrap/>
            <w:vAlign w:val="center"/>
          </w:tcPr>
          <w:p w14:paraId="0D0ABAD3">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评委对投标人的售后服务人员配置方案、售后服务保障措施、应急方案进行综合评价：</w:t>
            </w:r>
          </w:p>
          <w:p w14:paraId="522E5A80">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方案具体详细、科学合理得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0B6867C1">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方案较详细、合理得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4F1A9803">
            <w:pPr>
              <w:numPr>
                <w:ilvl w:val="0"/>
                <w:numId w:val="0"/>
              </w:numPr>
              <w:adjustRightInd w:val="0"/>
              <w:snapToGrid w:val="0"/>
              <w:spacing w:line="360" w:lineRule="auto"/>
              <w:ind w:left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方案基本详细合理的得1分</w:t>
            </w:r>
            <w:r>
              <w:rPr>
                <w:rFonts w:hint="eastAsia" w:ascii="宋体" w:hAnsi="宋体" w:cs="宋体"/>
                <w:color w:val="auto"/>
                <w:sz w:val="24"/>
                <w:szCs w:val="24"/>
                <w:highlight w:val="none"/>
                <w:lang w:eastAsia="zh-CN"/>
              </w:rPr>
              <w:t>；</w:t>
            </w:r>
          </w:p>
          <w:p w14:paraId="30C883A9">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方案完全不合理或者未描述的得0分。</w:t>
            </w:r>
          </w:p>
        </w:tc>
        <w:tc>
          <w:tcPr>
            <w:tcW w:w="935" w:type="dxa"/>
            <w:tcBorders>
              <w:top w:val="single" w:color="000000" w:sz="4" w:space="0"/>
              <w:left w:val="nil"/>
              <w:bottom w:val="single" w:color="000000" w:sz="4" w:space="0"/>
              <w:right w:val="single" w:color="000000" w:sz="4" w:space="0"/>
            </w:tcBorders>
            <w:noWrap/>
            <w:vAlign w:val="center"/>
          </w:tcPr>
          <w:p w14:paraId="54C8C69E">
            <w:pPr>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tc>
      </w:tr>
      <w:tr w14:paraId="10BFB853">
        <w:tblPrEx>
          <w:tblCellMar>
            <w:top w:w="0" w:type="dxa"/>
            <w:left w:w="108" w:type="dxa"/>
            <w:bottom w:w="0" w:type="dxa"/>
            <w:right w:w="108" w:type="dxa"/>
          </w:tblCellMar>
        </w:tblPrEx>
        <w:trPr>
          <w:jc w:val="center"/>
        </w:trPr>
        <w:tc>
          <w:tcPr>
            <w:tcW w:w="8627" w:type="dxa"/>
            <w:gridSpan w:val="3"/>
            <w:tcBorders>
              <w:top w:val="single" w:color="000000" w:sz="4" w:space="0"/>
              <w:left w:val="single" w:color="000000" w:sz="4" w:space="0"/>
              <w:bottom w:val="single" w:color="000000" w:sz="4" w:space="0"/>
              <w:right w:val="single" w:color="000000" w:sz="4" w:space="0"/>
            </w:tcBorders>
            <w:noWrap/>
            <w:vAlign w:val="center"/>
          </w:tcPr>
          <w:p w14:paraId="35EA2155">
            <w:pPr>
              <w:adjustRightInd w:val="0"/>
              <w:snapToGrid w:val="0"/>
              <w:spacing w:line="360" w:lineRule="auto"/>
              <w:ind w:firstLine="42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合计</w:t>
            </w:r>
          </w:p>
        </w:tc>
        <w:tc>
          <w:tcPr>
            <w:tcW w:w="935" w:type="dxa"/>
            <w:tcBorders>
              <w:top w:val="single" w:color="000000" w:sz="4" w:space="0"/>
              <w:left w:val="nil"/>
              <w:bottom w:val="single" w:color="000000" w:sz="4" w:space="0"/>
              <w:right w:val="single" w:color="000000" w:sz="4" w:space="0"/>
            </w:tcBorders>
            <w:noWrap/>
            <w:vAlign w:val="center"/>
          </w:tcPr>
          <w:p w14:paraId="1400BDFF">
            <w:pPr>
              <w:adjustRightInd w:val="0"/>
              <w:snapToGrid w:val="0"/>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0分</w:t>
            </w:r>
          </w:p>
        </w:tc>
      </w:tr>
    </w:tbl>
    <w:p w14:paraId="5CA6FB13">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color w:val="auto"/>
          <w:szCs w:val="24"/>
          <w:highlight w:val="none"/>
        </w:rPr>
        <w:t>注：以上所提供材料必须真实可靠，一切弄虚作假行为，一经发现和查实（含在本项目合同履行期间被查实），采购方有权取消成交资格或终止合同。</w:t>
      </w:r>
    </w:p>
    <w:p w14:paraId="1FB97BE1">
      <w:pPr>
        <w:pStyle w:val="42"/>
        <w:widowControl/>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（二）商务报价分：（</w:t>
      </w:r>
      <w:r>
        <w:rPr>
          <w:rFonts w:hint="eastAsia" w:ascii="宋体" w:hAnsi="宋体" w:cs="宋体"/>
          <w:b/>
          <w:bCs/>
          <w:color w:val="auto"/>
          <w:szCs w:val="24"/>
          <w:highlight w:val="none"/>
          <w:shd w:val="clear" w:color="auto" w:fill="FFFFFF"/>
          <w:lang w:val="en-US" w:eastAsia="zh-CN"/>
        </w:rPr>
        <w:t>3</w:t>
      </w:r>
      <w:r>
        <w:rPr>
          <w:rFonts w:hint="eastAsia" w:ascii="宋体" w:hAnsi="宋体" w:cs="宋体"/>
          <w:b/>
          <w:bCs/>
          <w:color w:val="auto"/>
          <w:szCs w:val="24"/>
          <w:highlight w:val="none"/>
          <w:shd w:val="clear" w:color="auto" w:fill="FFFFFF"/>
        </w:rPr>
        <w:t>0分）</w:t>
      </w:r>
    </w:p>
    <w:p w14:paraId="1BB3DA7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b/>
          <w:color w:val="auto"/>
          <w:kern w:val="0"/>
          <w:sz w:val="24"/>
          <w:szCs w:val="24"/>
          <w:highlight w:val="none"/>
        </w:rPr>
        <w:t>本次项目最高限价：</w:t>
      </w:r>
      <w:r>
        <w:rPr>
          <w:rFonts w:hint="eastAsia" w:ascii="宋体" w:hAnsi="宋体" w:cs="宋体"/>
          <w:b/>
          <w:color w:val="auto"/>
          <w:kern w:val="0"/>
          <w:sz w:val="24"/>
          <w:szCs w:val="24"/>
          <w:highlight w:val="none"/>
          <w:lang w:val="en-US" w:eastAsia="zh-CN"/>
        </w:rPr>
        <w:t>36</w:t>
      </w:r>
      <w:r>
        <w:rPr>
          <w:rFonts w:hint="eastAsia" w:ascii="宋体" w:hAnsi="宋体" w:cs="宋体"/>
          <w:b/>
          <w:color w:val="auto"/>
          <w:kern w:val="0"/>
          <w:sz w:val="24"/>
          <w:szCs w:val="24"/>
          <w:highlight w:val="none"/>
          <w:lang w:eastAsia="zh-CN"/>
        </w:rPr>
        <w:t>万元</w:t>
      </w:r>
      <w:r>
        <w:rPr>
          <w:rFonts w:hint="eastAsia" w:ascii="宋体" w:hAnsi="宋体" w:cs="宋体"/>
          <w:b/>
          <w:color w:val="auto"/>
          <w:kern w:val="0"/>
          <w:sz w:val="24"/>
          <w:szCs w:val="24"/>
          <w:highlight w:val="none"/>
        </w:rPr>
        <w:t>，响应报价超过最高限价为无效响应报价</w:t>
      </w:r>
      <w:r>
        <w:rPr>
          <w:rFonts w:hint="eastAsia" w:ascii="宋体" w:hAnsi="宋体" w:cs="宋体"/>
          <w:color w:val="auto"/>
          <w:kern w:val="0"/>
          <w:sz w:val="24"/>
          <w:szCs w:val="24"/>
          <w:highlight w:val="none"/>
        </w:rPr>
        <w:t>。</w:t>
      </w:r>
    </w:p>
    <w:p w14:paraId="188E504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2、满足磋商文件要求且最后报价最低的供应商的价格为磋商基准价，其商务报价分为满分</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0分。其他供应商的商务报价分统一按照下列公式计算：</w:t>
      </w:r>
    </w:p>
    <w:p w14:paraId="2F3C1BB0">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商务报价分=（磋商基准价/最后磋商报价）×</w:t>
      </w: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rPr>
        <w:t>0</w:t>
      </w:r>
    </w:p>
    <w:p w14:paraId="7555C763">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（三）评标争议</w:t>
      </w:r>
    </w:p>
    <w:p w14:paraId="552C72F5">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评标时磋商小组对评标的细则若有争议，由磋商小组评委集体讨论确定，并对未尽情况有最终解释权。</w:t>
      </w:r>
    </w:p>
    <w:p w14:paraId="728BA56A">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（四）落标原因</w:t>
      </w:r>
    </w:p>
    <w:p w14:paraId="54848B20">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磋商小组不对落标的投标供应商做落标原因的解释。</w:t>
      </w:r>
    </w:p>
    <w:p w14:paraId="23243AE7">
      <w:pPr>
        <w:pStyle w:val="42"/>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五、出现下列情形之一的，作无效标处理</w:t>
      </w:r>
    </w:p>
    <w:p w14:paraId="1C01600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1、响应文件未按规定要求密封、签署、盖章及主要资料不齐全的；</w:t>
      </w:r>
    </w:p>
    <w:p w14:paraId="39F1409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2、响应文件的资料有虚报或者谎报的；</w:t>
      </w:r>
    </w:p>
    <w:p w14:paraId="557500B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3、响应文件中资格审查文件及技术响应文件出现磋商报价的内容；</w:t>
      </w:r>
    </w:p>
    <w:p w14:paraId="419A8FB2">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4、不具备磋商文件规定的资格要求的；</w:t>
      </w:r>
    </w:p>
    <w:p w14:paraId="1E18D4B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5、响应文件有重大漏项或重大不合理的；</w:t>
      </w:r>
    </w:p>
    <w:p w14:paraId="555D29A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6、项目技术、方案不满足项目需求中的要求，有重大偏离或保留的；</w:t>
      </w:r>
    </w:p>
    <w:p w14:paraId="3AC19D9D">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7、磋商响应报价超出项目预算的；</w:t>
      </w:r>
    </w:p>
    <w:p w14:paraId="5342AC0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8、被认定为低于成本报价磋商竞标的；</w:t>
      </w:r>
    </w:p>
    <w:p w14:paraId="528674C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9、供应商的磋商报价高于自己前一轮的；</w:t>
      </w:r>
    </w:p>
    <w:p w14:paraId="32E28D8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10、不符合法律、法规和磋商文件中规定的其他实质性响应要求的；</w:t>
      </w:r>
    </w:p>
    <w:p w14:paraId="100CBA30">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11、磋商小组依据法律法规可以认定为无效投标的其他情况；</w:t>
      </w:r>
    </w:p>
    <w:p w14:paraId="7B71AE5D">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12、未按要求提供样品的（如有）。</w:t>
      </w:r>
    </w:p>
    <w:p w14:paraId="6532921A">
      <w:pPr>
        <w:pStyle w:val="42"/>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六、出现下列情形之一的，作废标处理</w:t>
      </w:r>
    </w:p>
    <w:p w14:paraId="7253E92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1、供应商的报价均超出了采购预算，采购单位不能支付的；</w:t>
      </w:r>
    </w:p>
    <w:p w14:paraId="3518EA2A">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2、因情况变化，不再符合规定的竞争性磋商采购方式所适用情形的；</w:t>
      </w:r>
    </w:p>
    <w:p w14:paraId="3ADA0F2E">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3、出现影响采购公正的违法、违规行为的；</w:t>
      </w:r>
    </w:p>
    <w:p w14:paraId="0ED2E1A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4、因重大变故，采购任务取消的；</w:t>
      </w:r>
    </w:p>
    <w:p w14:paraId="52851836">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5、磋商小组依据法律法规可以认定为废标的其他情况。</w:t>
      </w:r>
    </w:p>
    <w:p w14:paraId="0F154D4A">
      <w:pPr>
        <w:pStyle w:val="42"/>
        <w:shd w:val="clear" w:color="auto" w:fill="FFFFFF"/>
        <w:adjustRightInd w:val="0"/>
        <w:snapToGrid w:val="0"/>
        <w:spacing w:before="0" w:beforeAutospacing="0" w:after="0" w:afterAutospacing="0" w:line="360" w:lineRule="auto"/>
        <w:ind w:firstLine="482" w:firstLineChars="200"/>
        <w:jc w:val="both"/>
        <w:textAlignment w:val="baseline"/>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七、成交通知</w:t>
      </w:r>
    </w:p>
    <w:p w14:paraId="0190CE2F">
      <w:pPr>
        <w:adjustRightInd w:val="0"/>
        <w:snapToGrid w:val="0"/>
        <w:spacing w:line="360" w:lineRule="auto"/>
        <w:ind w:firstLine="480" w:firstLineChars="200"/>
        <w:textAlignment w:val="baseline"/>
        <w:rPr>
          <w:rFonts w:ascii="宋体" w:hAnsi="宋体" w:cs="宋体"/>
          <w:b/>
          <w:iCs/>
          <w:color w:val="auto"/>
          <w:kern w:val="0"/>
          <w:sz w:val="44"/>
          <w:szCs w:val="44"/>
          <w:highlight w:val="none"/>
        </w:rPr>
      </w:pPr>
      <w:r>
        <w:rPr>
          <w:rFonts w:hint="eastAsia" w:ascii="宋体" w:hAnsi="宋体" w:cs="宋体"/>
          <w:color w:val="auto"/>
          <w:kern w:val="0"/>
          <w:sz w:val="24"/>
          <w:szCs w:val="24"/>
          <w:highlight w:val="none"/>
        </w:rPr>
        <w:t>成交结果在江苏大生集团有限公司官网公示</w:t>
      </w:r>
      <w:r>
        <w:rPr>
          <w:rFonts w:hint="eastAsia" w:ascii="宋体" w:hAnsi="宋体" w:cs="宋体"/>
          <w:b/>
          <w:color w:val="auto"/>
          <w:kern w:val="0"/>
          <w:sz w:val="24"/>
          <w:szCs w:val="24"/>
          <w:highlight w:val="none"/>
          <w:u w:val="single"/>
        </w:rPr>
        <w:t>1</w:t>
      </w:r>
      <w:r>
        <w:rPr>
          <w:rFonts w:hint="eastAsia" w:ascii="宋体" w:hAnsi="宋体" w:cs="宋体"/>
          <w:color w:val="auto"/>
          <w:kern w:val="0"/>
          <w:sz w:val="24"/>
          <w:szCs w:val="24"/>
          <w:highlight w:val="none"/>
        </w:rPr>
        <w:t>个工作日。《成交通知书》一经发出，采购单位改变成交结果，或者成交人放弃成交的，各自承担相应的法律责任。《成交通知书》是采购合同的组成部分。</w:t>
      </w:r>
    </w:p>
    <w:p w14:paraId="6E0B0599">
      <w:pPr>
        <w:adjustRightInd w:val="0"/>
        <w:snapToGrid w:val="0"/>
        <w:spacing w:line="360" w:lineRule="auto"/>
        <w:jc w:val="center"/>
        <w:outlineLvl w:val="0"/>
        <w:rPr>
          <w:rFonts w:ascii="宋体" w:hAnsi="宋体" w:cs="宋体"/>
          <w:b/>
          <w:bCs/>
          <w:color w:val="auto"/>
          <w:sz w:val="32"/>
          <w:szCs w:val="32"/>
          <w:highlight w:val="none"/>
        </w:rPr>
      </w:pPr>
      <w:r>
        <w:rPr>
          <w:rFonts w:hint="eastAsia" w:ascii="宋体" w:hAnsi="宋体" w:cs="宋体"/>
          <w:b/>
          <w:iCs/>
          <w:color w:val="auto"/>
          <w:kern w:val="0"/>
          <w:sz w:val="44"/>
          <w:szCs w:val="44"/>
          <w:highlight w:val="none"/>
        </w:rPr>
        <w:br w:type="page"/>
      </w:r>
      <w:bookmarkStart w:id="16" w:name="_Toc11644"/>
      <w:r>
        <w:rPr>
          <w:rFonts w:hint="eastAsia" w:ascii="宋体" w:hAnsi="宋体" w:cs="宋体"/>
          <w:b/>
          <w:color w:val="auto"/>
          <w:kern w:val="0"/>
          <w:sz w:val="32"/>
          <w:szCs w:val="32"/>
          <w:highlight w:val="none"/>
        </w:rPr>
        <w:t xml:space="preserve">第五章 </w:t>
      </w:r>
      <w:r>
        <w:rPr>
          <w:rFonts w:hint="eastAsia" w:ascii="宋体" w:hAnsi="宋体" w:cs="宋体"/>
          <w:b/>
          <w:bCs/>
          <w:color w:val="auto"/>
          <w:sz w:val="32"/>
          <w:szCs w:val="32"/>
          <w:highlight w:val="none"/>
        </w:rPr>
        <w:t>合同协议书</w:t>
      </w:r>
      <w:bookmarkEnd w:id="16"/>
    </w:p>
    <w:p w14:paraId="18B7FA30">
      <w:pPr>
        <w:wordWrap w:val="0"/>
        <w:adjustRightInd w:val="0"/>
        <w:snapToGrid w:val="0"/>
        <w:spacing w:line="360" w:lineRule="auto"/>
        <w:jc w:val="center"/>
        <w:rPr>
          <w:rFonts w:ascii="宋体" w:hAnsi="宋体" w:cs="宋体"/>
          <w:b/>
          <w:bCs/>
          <w:color w:val="auto"/>
          <w:kern w:val="0"/>
          <w:sz w:val="32"/>
          <w:szCs w:val="32"/>
          <w:highlight w:val="none"/>
        </w:rPr>
      </w:pPr>
      <w:bookmarkStart w:id="17" w:name="_Toc24413"/>
      <w:r>
        <w:rPr>
          <w:rFonts w:hint="eastAsia" w:ascii="宋体" w:hAnsi="宋体" w:cs="宋体"/>
          <w:b/>
          <w:bCs/>
          <w:color w:val="auto"/>
          <w:kern w:val="0"/>
          <w:sz w:val="32"/>
          <w:szCs w:val="32"/>
          <w:highlight w:val="none"/>
        </w:rPr>
        <w:t>海安大生鑫天地消防设备采购及安装项目合同</w:t>
      </w:r>
    </w:p>
    <w:p w14:paraId="18B7FA31">
      <w:pPr>
        <w:wordWrap w:val="0"/>
        <w:adjustRightInd w:val="0"/>
        <w:snapToGrid w:val="0"/>
        <w:spacing w:line="360" w:lineRule="auto"/>
        <w:rPr>
          <w:rFonts w:ascii="宋体" w:hAnsi="宋体" w:cs="宋体"/>
          <w:color w:val="auto"/>
          <w:kern w:val="0"/>
          <w:sz w:val="24"/>
          <w:highlight w:val="none"/>
          <w:u w:val="single"/>
        </w:rPr>
      </w:pPr>
      <w:r>
        <w:rPr>
          <w:rFonts w:hint="eastAsia" w:ascii="宋体" w:hAnsi="宋体" w:cs="宋体"/>
          <w:color w:val="auto"/>
          <w:kern w:val="0"/>
          <w:sz w:val="24"/>
          <w:highlight w:val="none"/>
        </w:rPr>
        <w:t>采购单位（或称甲方）：</w:t>
      </w:r>
      <w:r>
        <w:rPr>
          <w:rFonts w:hint="eastAsia" w:ascii="宋体" w:hAnsi="宋体" w:cs="宋体"/>
          <w:color w:val="auto"/>
          <w:kern w:val="0"/>
          <w:sz w:val="24"/>
          <w:highlight w:val="none"/>
          <w:u w:val="single"/>
        </w:rPr>
        <w:t xml:space="preserve"> 江苏大晟文化产业发展有限公司 </w:t>
      </w:r>
    </w:p>
    <w:p w14:paraId="18B7FA32">
      <w:pPr>
        <w:wordWrap w:val="0"/>
        <w:adjustRightInd w:val="0"/>
        <w:snapToGrid w:val="0"/>
        <w:spacing w:line="360" w:lineRule="auto"/>
        <w:rPr>
          <w:rFonts w:ascii="宋体" w:hAnsi="宋体" w:cs="宋体"/>
          <w:bCs/>
          <w:color w:val="auto"/>
          <w:kern w:val="0"/>
          <w:sz w:val="24"/>
          <w:highlight w:val="none"/>
        </w:rPr>
      </w:pPr>
      <w:r>
        <w:rPr>
          <w:rFonts w:hint="eastAsia" w:ascii="宋体" w:hAnsi="宋体" w:cs="宋体"/>
          <w:color w:val="auto"/>
          <w:kern w:val="0"/>
          <w:sz w:val="24"/>
          <w:highlight w:val="none"/>
        </w:rPr>
        <w:t>中标供应商（或称乙方）：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18B7FA33">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签订时间：</w:t>
      </w:r>
      <w:r>
        <w:rPr>
          <w:rFonts w:hint="eastAsia" w:ascii="宋体" w:hAnsi="宋体" w:cs="宋体"/>
          <w:color w:val="auto"/>
          <w:kern w:val="0"/>
          <w:sz w:val="24"/>
          <w:highlight w:val="none"/>
          <w:u w:val="single"/>
        </w:rPr>
        <w:t xml:space="preserve"> 2025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14:paraId="18B7FA34">
      <w:pPr>
        <w:wordWrap w:val="0"/>
        <w:adjustRightInd w:val="0"/>
        <w:snapToGrid w:val="0"/>
        <w:spacing w:line="360" w:lineRule="auto"/>
        <w:rPr>
          <w:rFonts w:ascii="宋体" w:hAnsi="宋体" w:cs="宋体"/>
          <w:color w:val="auto"/>
          <w:kern w:val="0"/>
          <w:sz w:val="24"/>
          <w:highlight w:val="none"/>
          <w:u w:val="single"/>
        </w:rPr>
      </w:pPr>
      <w:r>
        <w:rPr>
          <w:rFonts w:hint="eastAsia" w:ascii="宋体" w:hAnsi="宋体" w:cs="宋体"/>
          <w:color w:val="auto"/>
          <w:kern w:val="0"/>
          <w:sz w:val="24"/>
          <w:highlight w:val="none"/>
        </w:rPr>
        <w:t>签订地点：</w:t>
      </w:r>
      <w:r>
        <w:rPr>
          <w:rFonts w:hint="eastAsia" w:ascii="宋体" w:hAnsi="宋体" w:cs="宋体"/>
          <w:color w:val="auto"/>
          <w:kern w:val="0"/>
          <w:sz w:val="24"/>
          <w:highlight w:val="none"/>
          <w:u w:val="single"/>
        </w:rPr>
        <w:t xml:space="preserve">  海安市城东镇鑫来路79号  </w:t>
      </w:r>
    </w:p>
    <w:p w14:paraId="18B7FA3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根据《中华人民共和国民法典》及（项目名称）</w:t>
      </w:r>
      <w:r>
        <w:rPr>
          <w:rFonts w:hint="eastAsia" w:ascii="宋体" w:hAnsi="宋体" w:cs="宋体"/>
          <w:color w:val="auto"/>
          <w:kern w:val="0"/>
          <w:sz w:val="24"/>
          <w:highlight w:val="none"/>
          <w:u w:val="single"/>
        </w:rPr>
        <w:t xml:space="preserve">  海安大生鑫天地LED屏幕采购及安装项目 </w:t>
      </w:r>
      <w:r>
        <w:rPr>
          <w:rFonts w:hint="eastAsia" w:ascii="宋体" w:hAnsi="宋体" w:cs="宋体"/>
          <w:color w:val="auto"/>
          <w:kern w:val="0"/>
          <w:sz w:val="24"/>
          <w:highlight w:val="none"/>
        </w:rPr>
        <w:t>采购项目；项目编号</w:t>
      </w:r>
      <w:r>
        <w:rPr>
          <w:rFonts w:hint="eastAsia" w:ascii="宋体" w:hAnsi="宋体" w:cs="宋体"/>
          <w:color w:val="auto"/>
          <w:kern w:val="0"/>
          <w:sz w:val="24"/>
          <w:highlight w:val="none"/>
          <w:u w:val="single"/>
        </w:rPr>
        <w:t xml:space="preserve">  HADS-HXTDPM2510001 </w:t>
      </w:r>
      <w:r>
        <w:rPr>
          <w:rFonts w:hint="eastAsia" w:ascii="宋体" w:hAnsi="宋体" w:cs="宋体"/>
          <w:color w:val="auto"/>
          <w:kern w:val="0"/>
          <w:sz w:val="24"/>
          <w:highlight w:val="none"/>
        </w:rPr>
        <w:t xml:space="preserve"> 的采购结果、采购文件及响应文件，经双方协商一致，签订本合同。</w:t>
      </w:r>
    </w:p>
    <w:p w14:paraId="18B7FA36">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一、合同的标的物</w:t>
      </w:r>
    </w:p>
    <w:p w14:paraId="18B7FA37">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1.1甲方向乙方采购标的物，具体的品种、规格要求详见合同附件：</w:t>
      </w:r>
    </w:p>
    <w:p w14:paraId="18B7FA38">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1.2乙方对提供的标的物应当拥有完整的物权，并且负有保证第三人不得向甲方主张任何权利（包括但不限于知识产权）的义务。</w:t>
      </w:r>
    </w:p>
    <w:p w14:paraId="18B7FA39">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二、合同价格与支付</w:t>
      </w:r>
    </w:p>
    <w:p w14:paraId="18B7FA3A">
      <w:pPr>
        <w:adjustRightInd w:val="0"/>
        <w:snapToGrid w:val="0"/>
        <w:spacing w:line="360" w:lineRule="auto"/>
        <w:ind w:firstLine="573"/>
        <w:rPr>
          <w:rFonts w:ascii="宋体" w:hAnsi="宋体" w:cs="宋体"/>
          <w:color w:val="auto"/>
          <w:kern w:val="0"/>
          <w:sz w:val="24"/>
          <w:highlight w:val="none"/>
          <w:u w:val="single"/>
        </w:rPr>
      </w:pPr>
      <w:r>
        <w:rPr>
          <w:rFonts w:hint="eastAsia" w:ascii="宋体" w:hAnsi="宋体" w:cs="宋体"/>
          <w:b/>
          <w:bCs/>
          <w:color w:val="auto"/>
          <w:kern w:val="0"/>
          <w:sz w:val="24"/>
          <w:highlight w:val="none"/>
          <w:u w:val="single"/>
        </w:rPr>
        <w:t>2.1本合同为固定单价合同，最终结算时按实结算，单价不予调整。</w:t>
      </w:r>
    </w:p>
    <w:p w14:paraId="18B7FA3B">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合同价格按此次中标价格执行，本合同金额为人民币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详见附件清单。合同价款包括产品运至现场并安装调试运行合格（不因市场价格因素及政策性调整的变化而调整），包含但不限于产品生产成本、加工制作费、劳务费、管理费、材料费、设备费、机械费、包装费、运输费、保险费、装卸费（含上下力资费）、二次搬运费、安装费、成品保护费、服务费（包括调试、安装完毕后对相关人员的技术指导、培训等）、措施费、风险费（政策性文件规定及本合同包含的所有风险）、售后服务费、检测试验费、利润和税金、质保期内的维护保养费等。</w:t>
      </w:r>
    </w:p>
    <w:p w14:paraId="18B7FA3C">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2.2付款方式</w:t>
      </w:r>
    </w:p>
    <w:p w14:paraId="18B7FA3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产品运送到甲方指定地点安装调试完成并经验收合格后支付至合同价款的95%；剩余合同价的5%，在</w:t>
      </w: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zh-CN"/>
        </w:rPr>
        <w:t>质保期满后一次性付清</w:t>
      </w:r>
      <w:r>
        <w:rPr>
          <w:rFonts w:hint="eastAsia" w:ascii="宋体" w:hAnsi="宋体" w:cs="宋体"/>
          <w:color w:val="auto"/>
          <w:kern w:val="0"/>
          <w:sz w:val="24"/>
          <w:highlight w:val="none"/>
        </w:rPr>
        <w:t>。</w:t>
      </w:r>
    </w:p>
    <w:p w14:paraId="18B7FA3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乙方应在申请付款前向甲方提供增值税专用发票，否则甲方有权拒绝付款。因乙方发票错误、迟延等问题而导致甲方无法付款的，甲方不承担责任。</w:t>
      </w:r>
    </w:p>
    <w:p w14:paraId="18B7FA3F">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2.3 乙方按期交货后向甲方结算货款时须提供下列单据：加盖公章的供货清单和验收合格证明。</w:t>
      </w:r>
    </w:p>
    <w:p w14:paraId="18B7FA40">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 根据现行税法对甲方征收的与本合同有关的一切税费均由甲方承担；根据现行税法对乙方征收的与本合同有关的一切税费均由乙方承担。</w:t>
      </w:r>
    </w:p>
    <w:p w14:paraId="18B7FA41">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三、关于材料的约定：</w:t>
      </w:r>
    </w:p>
    <w:p w14:paraId="18B7FA42">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乙方采购的材料和工程设备由乙方妥善保管，保管费用由乙方承担。法律规定材料和工程设备使用前必须进行检验或试验的，乙方应按要求进行检验或试验，检验或试验费用由乙方承担，不合格的不得使用。乙方需提供品牌主材的合同、发票等能证明主材品牌的资料。</w:t>
      </w:r>
    </w:p>
    <w:p w14:paraId="18B7FA43">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2、甲方发现乙方使用不符合设计或有关标准要求的材料和工程设备时，有权要求乙方限期进行修复、拆除或重新采购，由此增加的费用和（或）延误的工期，由乙方承担。</w:t>
      </w:r>
    </w:p>
    <w:p w14:paraId="18B7FA44">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四、质量保证</w:t>
      </w:r>
    </w:p>
    <w:p w14:paraId="18B7FA45">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4.1乙方应保证货物是全新、未使用过的原厂合格产品，并完全符合招标文件及本合同规定的质量、规格和性能参数的要求。验收过程中若发现不合格产品甲方有权终止合同，造成的一切损失由乙方承担。</w:t>
      </w:r>
    </w:p>
    <w:p w14:paraId="18B7FA46">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18B7FA47">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4.3乙方应保证提供的产品不得侵犯第三方专利权、商标权和设计权、版权等</w:t>
      </w:r>
      <w:r>
        <w:rPr>
          <w:rFonts w:hint="eastAsia" w:ascii="宋体" w:hAnsi="宋体" w:cs="宋体"/>
          <w:color w:val="auto"/>
          <w:kern w:val="0"/>
          <w:sz w:val="24"/>
          <w:highlight w:val="none"/>
        </w:rPr>
        <w:t>其他在先权利</w:t>
      </w:r>
      <w:r>
        <w:rPr>
          <w:rFonts w:hint="eastAsia" w:ascii="宋体" w:hAnsi="宋体" w:cs="宋体"/>
          <w:color w:val="auto"/>
          <w:kern w:val="0"/>
          <w:sz w:val="24"/>
          <w:highlight w:val="none"/>
        </w:rPr>
        <w:t>。否则，乙方应负全部责任，并承担由此引起的一切后果</w:t>
      </w:r>
      <w:r>
        <w:rPr>
          <w:rFonts w:hint="eastAsia" w:ascii="宋体" w:hAnsi="宋体" w:cs="宋体"/>
          <w:color w:val="auto"/>
          <w:kern w:val="0"/>
          <w:sz w:val="24"/>
          <w:highlight w:val="none"/>
        </w:rPr>
        <w:t>，包括但不限于甲方处理相关纠纷支出的律师费、差旅费、诉讼费等成本</w:t>
      </w:r>
      <w:r>
        <w:rPr>
          <w:rFonts w:hint="eastAsia" w:ascii="宋体" w:hAnsi="宋体" w:cs="宋体"/>
          <w:color w:val="auto"/>
          <w:kern w:val="0"/>
          <w:sz w:val="24"/>
          <w:highlight w:val="none"/>
        </w:rPr>
        <w:t>。</w:t>
      </w:r>
    </w:p>
    <w:p w14:paraId="18B7FA48">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4.4乙方应保证其货物在正确安装、正常使用下，在其使用寿命期内应具有满意的性能。</w:t>
      </w:r>
    </w:p>
    <w:p w14:paraId="18B7FA49">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4.5乙方应采取必要的安全措施保证货物的运输及安装的安全，并承担货物的运输及安装过程中产生的风险。</w:t>
      </w:r>
    </w:p>
    <w:p w14:paraId="18B7FA4A">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4.6乙方必须保证所提供的产品符合国家相应质量要求。</w:t>
      </w:r>
    </w:p>
    <w:p w14:paraId="18B7FA4B">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五、包装</w:t>
      </w:r>
    </w:p>
    <w:p w14:paraId="18B7FA4C">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乙方提供的设备或产品必须为原包装，在送交甲方验收前不得拆封。</w:t>
      </w:r>
    </w:p>
    <w:p w14:paraId="18B7FA4D">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六、标的物的交付</w:t>
      </w:r>
    </w:p>
    <w:p w14:paraId="18B7FA4E">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6.1 标的物的所有权自标的物交付时转移。</w:t>
      </w:r>
    </w:p>
    <w:p w14:paraId="18B7FA4F">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6.2 乙方应当按照约定的期限和约定的地点交付标的物。</w:t>
      </w:r>
    </w:p>
    <w:p w14:paraId="18B7FA50">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6.3 乙方应当按照约定或者交易习惯向甲方交付提取标的物单证以外的有关单证和资料。</w:t>
      </w:r>
    </w:p>
    <w:p w14:paraId="18B7FA51">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6.4产品设备交货</w:t>
      </w:r>
    </w:p>
    <w:p w14:paraId="18B7FA52">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6.4.1产品设备交付：</w:t>
      </w:r>
    </w:p>
    <w:p w14:paraId="18B7FA53">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① 交货地点：产品设备送至甲方指定的地点并负责全部产品设备的供货、安装、调试。</w:t>
      </w:r>
    </w:p>
    <w:p w14:paraId="18B7FA54">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② 货物装卸、运输涉及到的保险，其费用包含在合同总价中。</w:t>
      </w:r>
    </w:p>
    <w:p w14:paraId="18B7FA55">
      <w:pPr>
        <w:adjustRightInd w:val="0"/>
        <w:snapToGrid w:val="0"/>
        <w:spacing w:line="360" w:lineRule="auto"/>
        <w:ind w:firstLine="461"/>
        <w:rPr>
          <w:rFonts w:ascii="宋体" w:hAnsi="宋体" w:cs="宋体"/>
          <w:color w:val="auto"/>
          <w:kern w:val="0"/>
          <w:sz w:val="24"/>
          <w:highlight w:val="none"/>
        </w:rPr>
      </w:pPr>
      <w:r>
        <w:rPr>
          <w:rFonts w:hint="eastAsia" w:ascii="宋体" w:hAnsi="宋体" w:cs="宋体"/>
          <w:color w:val="auto"/>
          <w:kern w:val="0"/>
          <w:sz w:val="24"/>
          <w:highlight w:val="none"/>
        </w:rPr>
        <w:t>6.4.2合同履行期限：合同签订后</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日内交货并安装调试完成，并通过验收合格正常使用。甲方保留交货期调整的权利，交货期调整后乙方不得以任何理由增加费用，对此甲方不承担违约责任。</w:t>
      </w:r>
    </w:p>
    <w:p w14:paraId="18B7FA56">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6.4.3乙方发货到甲方指定地点前应</w:t>
      </w:r>
      <w:r>
        <w:rPr>
          <w:rFonts w:hint="eastAsia" w:ascii="宋体" w:hAnsi="宋体" w:cs="宋体"/>
          <w:color w:val="auto"/>
          <w:kern w:val="0"/>
          <w:sz w:val="24"/>
          <w:highlight w:val="none"/>
          <w:lang w:val="en-US" w:eastAsia="zh-CN"/>
        </w:rPr>
        <w:t>提前3日</w:t>
      </w:r>
      <w:r>
        <w:rPr>
          <w:rFonts w:hint="eastAsia" w:ascii="宋体" w:hAnsi="宋体" w:cs="宋体"/>
          <w:color w:val="auto"/>
          <w:kern w:val="0"/>
          <w:sz w:val="24"/>
          <w:highlight w:val="none"/>
        </w:rPr>
        <w:t>告知甲方。</w:t>
      </w:r>
    </w:p>
    <w:p w14:paraId="18B7FA57">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6.4.4全部货物的外包装必须采用防漏、防潮、防震、防锈、防盗和考虑到可能会发生的野蛮装卸等长途运输及多次装卸之需要。如因乙方包装不当以及其它原因造成损坏或丢失，应由乙方负一切责任。</w:t>
      </w:r>
    </w:p>
    <w:p w14:paraId="18B7FA58">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七、伴随服务</w:t>
      </w:r>
    </w:p>
    <w:p w14:paraId="18B7FA59">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7.1 乙方除应履行按期按量交付合格标的物的义务外，还应当提供下列服务：</w:t>
      </w:r>
    </w:p>
    <w:p w14:paraId="18B7FA5A">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7.1.1 标的物的现场安装、启动、调试、监督（如果必须安装、调试的话）；</w:t>
      </w:r>
    </w:p>
    <w:p w14:paraId="18B7FA5B">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7.1.2 在合同规定的期限内对所提供的标的物实行运行监督、维修服务的前提条件是该服务并不能免除乙方在质量保证期内所承担的义务；</w:t>
      </w:r>
    </w:p>
    <w:p w14:paraId="18B7FA5C">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7.1.3对甲方技术人员的技术指导或培训。</w:t>
      </w:r>
    </w:p>
    <w:p w14:paraId="18B7FA5D">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7.2 除合同另有规定之外，伴随服务的费用均已含在合同价款中，甲方不再另行支付。</w:t>
      </w:r>
    </w:p>
    <w:p w14:paraId="18B7FA5E">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八、标的物的检验和验收</w:t>
      </w:r>
    </w:p>
    <w:p w14:paraId="18B7FA5F">
      <w:pPr>
        <w:adjustRightInd w:val="0"/>
        <w:snapToGrid w:val="0"/>
        <w:spacing w:line="360" w:lineRule="auto"/>
        <w:ind w:firstLine="573"/>
        <w:rPr>
          <w:rFonts w:ascii="宋体" w:hAnsi="宋体" w:cs="宋体"/>
          <w:bCs/>
          <w:color w:val="auto"/>
          <w:kern w:val="0"/>
          <w:sz w:val="24"/>
          <w:highlight w:val="none"/>
        </w:rPr>
      </w:pPr>
      <w:r>
        <w:rPr>
          <w:rFonts w:hint="eastAsia" w:ascii="宋体" w:hAnsi="宋体" w:cs="宋体"/>
          <w:color w:val="auto"/>
          <w:kern w:val="0"/>
          <w:sz w:val="24"/>
          <w:highlight w:val="none"/>
        </w:rPr>
        <w:t>甲方有权在产品制造过程中进行中期验收和交付后抽样检测，如验收不合格，甲方有权终止合同，验收合格，验收所发生的费用由甲方承担，验收不合格所发生的一切费用由乙方承担。</w:t>
      </w:r>
      <w:r>
        <w:rPr>
          <w:rFonts w:hint="eastAsia" w:ascii="宋体" w:hAnsi="宋体" w:cs="宋体"/>
          <w:bCs/>
          <w:color w:val="auto"/>
          <w:kern w:val="0"/>
          <w:sz w:val="24"/>
          <w:highlight w:val="none"/>
        </w:rPr>
        <w:t xml:space="preserve">   </w:t>
      </w:r>
    </w:p>
    <w:p w14:paraId="18B7FA60">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九、售后服务</w:t>
      </w:r>
    </w:p>
    <w:p w14:paraId="18B7FA61">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szCs w:val="20"/>
          <w:highlight w:val="none"/>
        </w:rPr>
        <w:t>9.1</w:t>
      </w:r>
      <w:r>
        <w:rPr>
          <w:rFonts w:hint="eastAsia" w:ascii="宋体" w:hAnsi="宋体" w:cs="宋体"/>
          <w:color w:val="auto"/>
          <w:kern w:val="0"/>
          <w:sz w:val="24"/>
          <w:highlight w:val="none"/>
        </w:rPr>
        <w:t>乙方应提供详细的售后服务方案。</w:t>
      </w:r>
    </w:p>
    <w:p w14:paraId="18B7FA62">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szCs w:val="20"/>
          <w:highlight w:val="none"/>
        </w:rPr>
        <w:t>9.2质保期为：</w:t>
      </w:r>
      <w:r>
        <w:rPr>
          <w:rFonts w:hint="eastAsia" w:ascii="宋体" w:hAnsi="宋体" w:cs="宋体"/>
          <w:color w:val="auto"/>
          <w:kern w:val="0"/>
          <w:sz w:val="24"/>
          <w:highlight w:val="none"/>
          <w:u w:val="single"/>
          <w:lang w:val="zh-CN"/>
        </w:rPr>
        <w:t>自安装调试验收合格之日起质保</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lang w:val="zh-CN"/>
        </w:rPr>
        <w:t>年</w:t>
      </w:r>
      <w:r>
        <w:rPr>
          <w:rFonts w:hint="eastAsia" w:ascii="宋体" w:hAnsi="宋体" w:cs="宋体"/>
          <w:bCs/>
          <w:color w:val="auto"/>
          <w:kern w:val="0"/>
          <w:sz w:val="24"/>
          <w:highlight w:val="none"/>
        </w:rPr>
        <w:t>。</w:t>
      </w:r>
      <w:r>
        <w:rPr>
          <w:rFonts w:hint="eastAsia" w:ascii="宋体" w:hAnsi="宋体" w:cs="宋体"/>
          <w:color w:val="auto"/>
          <w:kern w:val="0"/>
          <w:sz w:val="24"/>
          <w:highlight w:val="none"/>
        </w:rPr>
        <w:t>成交后不履行承诺的,甲方将保留追究其责任的权利。</w:t>
      </w:r>
    </w:p>
    <w:p w14:paraId="18B7FA63">
      <w:pPr>
        <w:autoSpaceDE w:val="0"/>
        <w:autoSpaceDN w:val="0"/>
        <w:adjustRightInd w:val="0"/>
        <w:snapToGrid w:val="0"/>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rPr>
        <w:t>9.3保修期内提供免费上门维修服务和免费供应零配件。</w:t>
      </w:r>
      <w:r>
        <w:rPr>
          <w:rFonts w:hint="eastAsia" w:ascii="宋体" w:hAnsi="宋体" w:cs="宋体"/>
          <w:color w:val="auto"/>
          <w:kern w:val="0"/>
          <w:sz w:val="24"/>
          <w:highlight w:val="none"/>
          <w:lang w:val="zh-CN"/>
        </w:rPr>
        <w:t>一旦发生质量问题，应在接到通知后的2小时内进行响应，并在24小时内组织人员到现场进行检修，确因产品本身质量问题的，将组织原厂人员进行维修、更换或退货处理，费用由乙方负责。产品出现故障48小时不能修复的，免费提供同等功能的产品供甲方使用，直至故障修复。</w:t>
      </w:r>
    </w:p>
    <w:p w14:paraId="18B7FA64">
      <w:pPr>
        <w:autoSpaceDE w:val="0"/>
        <w:autoSpaceDN w:val="0"/>
        <w:adjustRightInd w:val="0"/>
        <w:snapToGrid w:val="0"/>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lang w:val="zh-CN"/>
        </w:rPr>
        <w:t>质保期满后，能根据甲方要求提供充足的备品、备件，乙方对于货品维修只收取基本材料备件费，不收取服务费。质保期结束，不能视为乙方对货品中存在的可能引起货品损坏的潜在缺陷所应负责任的解除。潜在缺陷指货品在制造过程中未被发现的隐患，乙方对纠正潜在缺陷应负责任，其时间应延续至质保期终止后贰年。当发现这类潜在缺陷时（经双方确认），乙方应立即予以无偿修复或更换。</w:t>
      </w:r>
    </w:p>
    <w:p w14:paraId="18B7FA65">
      <w:pPr>
        <w:adjustRightInd w:val="0"/>
        <w:snapToGrid w:val="0"/>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9.4本招标项目规定的设备应是全新和无任何缺陷的产品。</w:t>
      </w:r>
    </w:p>
    <w:p w14:paraId="18B7FA66">
      <w:pPr>
        <w:adjustRightInd w:val="0"/>
        <w:snapToGrid w:val="0"/>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9.5乙方应按技术要求和相关的标准进行设计和制造。</w:t>
      </w:r>
    </w:p>
    <w:p w14:paraId="18B7FA67">
      <w:pPr>
        <w:adjustRightInd w:val="0"/>
        <w:snapToGrid w:val="0"/>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9.6重要部件如有特定延长的保修期，签订合同时执行承诺的保修期。</w:t>
      </w:r>
    </w:p>
    <w:p w14:paraId="18B7FA68">
      <w:pPr>
        <w:adjustRightInd w:val="0"/>
        <w:snapToGrid w:val="0"/>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9.7甲方对确属设备内在质量造成的设备运行故障，有权要求乙方更换设备或部件并赔偿损失。</w:t>
      </w:r>
    </w:p>
    <w:p w14:paraId="18B7FA69">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十、违约责任</w:t>
      </w:r>
    </w:p>
    <w:p w14:paraId="18B7FA6A">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合同</w:t>
      </w:r>
      <w:r>
        <w:rPr>
          <w:rFonts w:hint="eastAsia" w:ascii="宋体" w:hAnsi="宋体" w:cs="宋体"/>
          <w:color w:val="auto"/>
          <w:kern w:val="0"/>
          <w:sz w:val="24"/>
          <w:szCs w:val="20"/>
          <w:highlight w:val="none"/>
        </w:rPr>
        <w:t>一方</w:t>
      </w:r>
      <w:r>
        <w:rPr>
          <w:rFonts w:hint="eastAsia" w:ascii="宋体" w:hAnsi="宋体" w:cs="宋体"/>
          <w:color w:val="auto"/>
          <w:kern w:val="0"/>
          <w:sz w:val="24"/>
          <w:highlight w:val="none"/>
        </w:rPr>
        <w:t>不履行合同义务或者履行合同义务不符合约定的，应当承担继续履行、采取补救措施或赔偿损失等违约责任。</w:t>
      </w:r>
    </w:p>
    <w:p w14:paraId="18B7FA6B">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10.1 甲方违约责任</w:t>
      </w:r>
    </w:p>
    <w:p w14:paraId="18B7FA6C">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10.1.1甲方违反合同规定，拒绝接收乙方交付的合格标的物，应当承担乙方由此造成的损失。</w:t>
      </w:r>
    </w:p>
    <w:p w14:paraId="18B7FA6D">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10.2 乙方违约责任</w:t>
      </w:r>
    </w:p>
    <w:p w14:paraId="18B7FA6E">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10.2.1 乙方不能交货，或交货不合格从而影响甲方按期正常使用的，应向甲方偿付合同总价款</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rPr>
        <w:t>甲方并有权单方解除合同，</w:t>
      </w:r>
      <w:r>
        <w:rPr>
          <w:rFonts w:hint="eastAsia" w:ascii="宋体" w:hAnsi="宋体" w:cs="宋体"/>
          <w:color w:val="auto"/>
          <w:kern w:val="0"/>
          <w:sz w:val="24"/>
          <w:highlight w:val="none"/>
        </w:rPr>
        <w:t>违约金不足以补偿损失的，甲方有权要求乙方补足。</w:t>
      </w:r>
    </w:p>
    <w:p w14:paraId="18B7FA6F">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10.2.2 乙方逾期交货的 ，应在发货前与甲方和政府采购管理部门协商，甲方仍需求的，乙方应立即发货，按照逾期交货部分货款每天</w:t>
      </w:r>
      <w:r>
        <w:rPr>
          <w:rFonts w:hint="eastAsia" w:ascii="宋体" w:hAnsi="宋体" w:cs="宋体"/>
          <w:color w:val="auto"/>
          <w:kern w:val="0"/>
          <w:sz w:val="24"/>
          <w:highlight w:val="none"/>
          <w:u w:val="single"/>
        </w:rPr>
        <w:t xml:space="preserve">0.05% </w:t>
      </w:r>
      <w:r>
        <w:rPr>
          <w:rFonts w:hint="eastAsia" w:ascii="宋体" w:hAnsi="宋体" w:cs="宋体"/>
          <w:color w:val="auto"/>
          <w:kern w:val="0"/>
          <w:sz w:val="24"/>
          <w:highlight w:val="none"/>
        </w:rPr>
        <w:t>的数额，支付逾期交货违约金，同时承担甲方因此遭致的损失费用。</w:t>
      </w:r>
      <w:r>
        <w:rPr>
          <w:rFonts w:hint="eastAsia" w:ascii="宋体" w:hAnsi="宋体" w:cs="宋体"/>
          <w:color w:val="auto"/>
          <w:kern w:val="0"/>
          <w:sz w:val="24"/>
          <w:highlight w:val="none"/>
        </w:rPr>
        <w:t>若乙方逾期交货超过1</w:t>
      </w:r>
      <w:r>
        <w:rPr>
          <w:rFonts w:ascii="宋体" w:hAnsi="宋体" w:cs="宋体"/>
          <w:color w:val="auto"/>
          <w:kern w:val="0"/>
          <w:sz w:val="24"/>
          <w:highlight w:val="none"/>
        </w:rPr>
        <w:t>0</w:t>
      </w:r>
      <w:r>
        <w:rPr>
          <w:rFonts w:hint="eastAsia" w:ascii="宋体" w:hAnsi="宋体" w:cs="宋体"/>
          <w:color w:val="auto"/>
          <w:kern w:val="0"/>
          <w:sz w:val="24"/>
          <w:highlight w:val="none"/>
        </w:rPr>
        <w:t>天的，应向甲方偿付合同总价款</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%的违约金，甲方并有权单方解除合同，违约金不足以补偿损失的，甲方有权要求乙方补足。</w:t>
      </w:r>
    </w:p>
    <w:p w14:paraId="18B7FA70">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10.2.3货物送达后，经验证为假货的一律不付款，且取消该供应商一年内的其他商品的供货资格。</w:t>
      </w:r>
    </w:p>
    <w:p w14:paraId="18B7FA71">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十一、不可抗力</w:t>
      </w:r>
    </w:p>
    <w:p w14:paraId="18B7FA72">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11.1 因不可抗力不能履行合同的，根据不可抗力的影响，部分或者全部免除责任。但合同一方延迟履行后发生不可抗力的，不能免除责任。</w:t>
      </w:r>
    </w:p>
    <w:p w14:paraId="18B7FA73">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11.2 合同一方因不可抗力不能履行合同的，应当及时通知对方，以减轻可能给对方造成的损失，并应当在合理期限内提供证明。</w:t>
      </w:r>
    </w:p>
    <w:p w14:paraId="18B7FA74">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十二、索赔</w:t>
      </w:r>
    </w:p>
    <w:p w14:paraId="18B7FA75">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12.1 甲方有权根据当地产品质量检验机构或其他有权部门出具的检验证书向乙方提出索赔。</w:t>
      </w:r>
    </w:p>
    <w:p w14:paraId="18B7FA76">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12.2 在本合同规定的检验期限和质量保证期内，如果乙方对甲方提出的索赔或差异有责任，则乙方应按甲方同意的下列一种或多种方式解决索赔事宜：</w:t>
      </w:r>
    </w:p>
    <w:p w14:paraId="18B7FA77">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12.2.1 乙方同意退货，并按合同规定的货币将货款退还给甲方，并且承担由此发生的一切损失和费用，包括利息、银行手续费、运费、保险费、检验费、仓储费、装卸费以及为保护退回标的物所需的其他必要费用。</w:t>
      </w:r>
    </w:p>
    <w:p w14:paraId="18B7FA78">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12.2.2 根据标的物的低劣程度、损坏程度以及甲方遭受损失的数额，经双方协商确定降低标的物的价格。</w:t>
      </w:r>
    </w:p>
    <w:p w14:paraId="18B7FA79">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18B7FA7A">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12.3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18B7FA7B">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十三、履约保证金</w:t>
      </w:r>
    </w:p>
    <w:p w14:paraId="18B7FA7C">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13.1本项目中标后的履约保证金为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元</w:t>
      </w:r>
      <w:r>
        <w:rPr>
          <w:rFonts w:hint="eastAsia" w:ascii="宋体" w:hAnsi="宋体" w:cs="宋体"/>
          <w:color w:val="auto"/>
          <w:kern w:val="0"/>
          <w:sz w:val="24"/>
          <w:highlight w:val="none"/>
        </w:rPr>
        <w:t>。</w:t>
      </w:r>
    </w:p>
    <w:p w14:paraId="18B7FA7D">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13.2乙方以银行转账的形式缴纳履约保证金。</w:t>
      </w:r>
    </w:p>
    <w:p w14:paraId="18B7FA7E">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13.3银行账户信息：</w:t>
      </w:r>
    </w:p>
    <w:p w14:paraId="18B7FA7F">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公司名称：江苏大晟文化产业发展有限公司</w:t>
      </w:r>
    </w:p>
    <w:p w14:paraId="18B7FA80">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开户行：中国邮政储蓄银行股份有限公司海安市宁海路支行</w:t>
      </w:r>
    </w:p>
    <w:p w14:paraId="18B7FA81">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账号：932066013187988888</w:t>
      </w:r>
    </w:p>
    <w:p w14:paraId="18B7FA82">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13.4乙方在按要求保质保量的完成该项目合同并通过验收后，甲方凭乙方提交的申请，一次性无息退还该合同项目的履约保证金。</w:t>
      </w:r>
    </w:p>
    <w:p w14:paraId="18B7FA83">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13.5由于乙方原因，在签订合同后出现不按合同履行的情况，甲方有权将履约保证金作为违约金，全额不予退还，同时甲方亦有权终止合同，乙方还须承担相应的法律赔偿责任。</w:t>
      </w:r>
    </w:p>
    <w:p w14:paraId="18B7FA84">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十四、合同的解除和转让</w:t>
      </w:r>
    </w:p>
    <w:p w14:paraId="18B7FA85">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14.1 甲方和乙方协商一致，可以解除合同。</w:t>
      </w:r>
    </w:p>
    <w:p w14:paraId="18B7FA86">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14.2 有下列情形之一，合同一方可以解除合同：</w:t>
      </w:r>
    </w:p>
    <w:p w14:paraId="18B7FA87">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14.2.1 因不可抗力致使不能实现合同目的，未受不可抗力影响的一方有权解除合同。</w:t>
      </w:r>
    </w:p>
    <w:p w14:paraId="18B7FA88">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14.2.2 因合同一方违约导致合同不能履行，另一方有权解除合同。</w:t>
      </w:r>
    </w:p>
    <w:p w14:paraId="18B7FA89">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14.2.3 有权解除合同的一方，应当在违约事实或不可抗力发生之后三十天内书面通知对方以主张解除合同，合同在书面通知到达对方时解除。</w:t>
      </w:r>
    </w:p>
    <w:p w14:paraId="18B7FA8A">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14.3 合同的部分和全部都不得转让。</w:t>
      </w:r>
    </w:p>
    <w:p w14:paraId="18B7FA8B">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十五、合同的生效</w:t>
      </w:r>
    </w:p>
    <w:p w14:paraId="18B7FA8C">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 xml:space="preserve">本合同在甲乙双方签字盖章后即生效。  </w:t>
      </w:r>
    </w:p>
    <w:p w14:paraId="18B7FA8D">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十六、争议的解决</w:t>
      </w:r>
    </w:p>
    <w:p w14:paraId="18B7FA8E">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甲乙双方因合同发生争议，应在招标采购单位的主持下进行调解，协商不成，任何一方可以向甲方所在地人民法院起诉。</w:t>
      </w:r>
    </w:p>
    <w:p w14:paraId="18B7FA8F">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十七、附则</w:t>
      </w:r>
    </w:p>
    <w:p w14:paraId="18B7FA90">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17.1 合同份数：本合同一式四份，甲乙双方各两份。</w:t>
      </w:r>
    </w:p>
    <w:p w14:paraId="18B7FA91">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17.2 本合同文件使用中文书写、解释和说明。</w:t>
      </w:r>
    </w:p>
    <w:p w14:paraId="18B7FA92">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17.3 本合同履行过程中产生的纪要、协议以及中标通知书、投标文件和招标文件为本合同的附件，与合同具有同等效力。</w:t>
      </w:r>
    </w:p>
    <w:p w14:paraId="18B7FA93">
      <w:pPr>
        <w:adjustRightInd w:val="0"/>
        <w:snapToGrid w:val="0"/>
        <w:spacing w:line="360" w:lineRule="auto"/>
        <w:ind w:firstLine="573"/>
        <w:rPr>
          <w:rFonts w:ascii="宋体" w:hAnsi="宋体" w:cs="宋体"/>
          <w:color w:val="auto"/>
          <w:kern w:val="0"/>
          <w:sz w:val="24"/>
          <w:highlight w:val="none"/>
        </w:rPr>
      </w:pPr>
      <w:r>
        <w:rPr>
          <w:rFonts w:hint="eastAsia" w:ascii="宋体" w:hAnsi="宋体" w:cs="宋体"/>
          <w:color w:val="auto"/>
          <w:kern w:val="0"/>
          <w:sz w:val="24"/>
          <w:highlight w:val="none"/>
        </w:rPr>
        <w:t>17.4 未尽事宜</w:t>
      </w:r>
    </w:p>
    <w:p w14:paraId="18B7FA94">
      <w:pPr>
        <w:adjustRightInd w:val="0"/>
        <w:snapToGrid w:val="0"/>
        <w:spacing w:line="360" w:lineRule="auto"/>
        <w:ind w:firstLine="573"/>
        <w:rPr>
          <w:rFonts w:hint="eastAsia" w:ascii="宋体" w:hAnsi="宋体" w:cs="宋体"/>
          <w:color w:val="auto"/>
          <w:kern w:val="0"/>
          <w:sz w:val="24"/>
          <w:highlight w:val="none"/>
        </w:rPr>
      </w:pPr>
      <w:r>
        <w:rPr>
          <w:rFonts w:hint="eastAsia" w:ascii="宋体" w:hAnsi="宋体" w:cs="宋体"/>
          <w:color w:val="auto"/>
          <w:kern w:val="0"/>
          <w:sz w:val="24"/>
          <w:highlight w:val="none"/>
        </w:rPr>
        <w:t>本合同未尽事宜应按照《中华人民共和国民法典》、《中华人民共和国产品质量法》、《中华人民共和国政府采购法》及其相关配套法律法规之规定解释。</w:t>
      </w:r>
    </w:p>
    <w:p w14:paraId="18B7FA95">
      <w:pPr>
        <w:adjustRightInd w:val="0"/>
        <w:snapToGrid w:val="0"/>
        <w:spacing w:line="360" w:lineRule="auto"/>
        <w:rPr>
          <w:rFonts w:ascii="宋体" w:hAnsi="宋体" w:cs="宋体"/>
          <w:color w:val="auto"/>
          <w:kern w:val="0"/>
          <w:sz w:val="24"/>
          <w:highlight w:val="none"/>
        </w:rPr>
      </w:pPr>
    </w:p>
    <w:p w14:paraId="18B7FA96">
      <w:pPr>
        <w:adjustRightInd w:val="0"/>
        <w:snapToGrid w:val="0"/>
        <w:spacing w:line="360" w:lineRule="auto"/>
        <w:rPr>
          <w:rFonts w:ascii="宋体" w:hAnsi="宋体" w:cs="宋体"/>
          <w:color w:val="auto"/>
          <w:kern w:val="0"/>
          <w:sz w:val="24"/>
          <w:highlight w:val="none"/>
        </w:rPr>
      </w:pPr>
    </w:p>
    <w:p w14:paraId="18B7FA97">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采购单位（或甲方）：                 中标供应商（或乙方）：</w:t>
      </w:r>
    </w:p>
    <w:p w14:paraId="18B7FA98">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14:paraId="18B7FA99">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                         委托代理人：</w:t>
      </w:r>
    </w:p>
    <w:p w14:paraId="18B7FA9A">
      <w:pPr>
        <w:tabs>
          <w:tab w:val="left" w:pos="4410"/>
        </w:tabs>
        <w:adjustRightInd w:val="0"/>
        <w:snapToGrid w:val="0"/>
        <w:spacing w:line="360" w:lineRule="auto"/>
        <w:rPr>
          <w:rFonts w:ascii="宋体" w:hAnsi="宋体" w:cs="宋体"/>
          <w:color w:val="auto"/>
          <w:kern w:val="0"/>
          <w:sz w:val="24"/>
          <w:highlight w:val="none"/>
        </w:rPr>
      </w:pPr>
      <w:bookmarkStart w:id="18" w:name="_Toc522571277"/>
      <w:r>
        <w:rPr>
          <w:rFonts w:hint="eastAsia" w:ascii="宋体" w:hAnsi="宋体" w:cs="宋体"/>
          <w:color w:val="auto"/>
          <w:kern w:val="0"/>
          <w:sz w:val="24"/>
          <w:highlight w:val="none"/>
        </w:rPr>
        <w:t>社会信用代码：</w:t>
      </w:r>
      <w:r>
        <w:rPr>
          <w:rFonts w:hint="eastAsia" w:ascii="宋体" w:hAnsi="宋体" w:cs="宋体"/>
          <w:color w:val="auto"/>
          <w:kern w:val="0"/>
          <w:sz w:val="24"/>
          <w:highlight w:val="none"/>
          <w:u w:val="single"/>
        </w:rPr>
        <w:t xml:space="preserve"> 91320621MAEEJATA22</w:t>
      </w:r>
      <w:r>
        <w:rPr>
          <w:rFonts w:hint="eastAsia" w:ascii="宋体" w:hAnsi="宋体" w:cs="宋体"/>
          <w:color w:val="auto"/>
          <w:kern w:val="0"/>
          <w:sz w:val="24"/>
          <w:highlight w:val="none"/>
        </w:rPr>
        <w:t xml:space="preserve">    社会信用代码：</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8B7FA9B">
      <w:pPr>
        <w:adjustRightInd w:val="0"/>
        <w:snapToGrid w:val="0"/>
        <w:spacing w:line="360" w:lineRule="auto"/>
        <w:ind w:left="4560" w:hanging="4560" w:hangingChars="1900"/>
        <w:rPr>
          <w:rFonts w:ascii="宋体" w:hAnsi="宋体" w:cs="宋体"/>
          <w:color w:val="auto"/>
          <w:kern w:val="0"/>
          <w:sz w:val="24"/>
          <w:highlight w:val="none"/>
          <w:u w:val="single"/>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u w:val="single"/>
        </w:rPr>
        <w:t xml:space="preserve"> 海安市城东镇鑫来路79号</w:t>
      </w:r>
      <w:r>
        <w:rPr>
          <w:rFonts w:hint="eastAsia" w:ascii="宋体" w:hAnsi="宋体" w:cs="宋体"/>
          <w:color w:val="auto"/>
          <w:kern w:val="0"/>
          <w:sz w:val="24"/>
          <w:highlight w:val="none"/>
        </w:rPr>
        <w:t xml:space="preserve">     地  址：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18B7FA9C">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226600          </w:t>
      </w:r>
      <w:r>
        <w:rPr>
          <w:rFonts w:hint="eastAsia" w:ascii="宋体" w:hAnsi="宋体" w:cs="宋体"/>
          <w:color w:val="auto"/>
          <w:kern w:val="0"/>
          <w:sz w:val="24"/>
          <w:highlight w:val="none"/>
        </w:rPr>
        <w:t xml:space="preserve">           邮政编码：</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18B7FA9D">
      <w:pPr>
        <w:adjustRightInd w:val="0"/>
        <w:snapToGrid w:val="0"/>
        <w:spacing w:line="360" w:lineRule="auto"/>
        <w:rPr>
          <w:rFonts w:ascii="宋体" w:hAnsi="宋体" w:cs="宋体"/>
          <w:color w:val="auto"/>
          <w:kern w:val="0"/>
          <w:sz w:val="24"/>
          <w:highlight w:val="none"/>
          <w:u w:val="single"/>
        </w:rPr>
      </w:pPr>
      <w:r>
        <w:rPr>
          <w:rFonts w:hint="eastAsia" w:ascii="宋体" w:hAnsi="宋体" w:cs="宋体"/>
          <w:color w:val="auto"/>
          <w:kern w:val="0"/>
          <w:sz w:val="24"/>
          <w:highlight w:val="none"/>
        </w:rPr>
        <w:t>法定代表人：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法定代表人：</w:t>
      </w:r>
      <w:r>
        <w:rPr>
          <w:rFonts w:hint="eastAsia" w:ascii="宋体" w:hAnsi="宋体" w:cs="宋体"/>
          <w:color w:val="auto"/>
          <w:kern w:val="0"/>
          <w:sz w:val="24"/>
          <w:highlight w:val="none"/>
          <w:u w:val="single"/>
        </w:rPr>
        <w:t xml:space="preserve">                      </w:t>
      </w:r>
    </w:p>
    <w:p w14:paraId="18B7FA9E">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委托代理人：</w:t>
      </w:r>
      <w:r>
        <w:rPr>
          <w:rFonts w:hint="eastAsia" w:ascii="宋体" w:hAnsi="宋体" w:cs="宋体"/>
          <w:color w:val="auto"/>
          <w:kern w:val="0"/>
          <w:sz w:val="24"/>
          <w:highlight w:val="none"/>
          <w:u w:val="single"/>
        </w:rPr>
        <w:t xml:space="preserve">                      </w:t>
      </w:r>
    </w:p>
    <w:p w14:paraId="18B7FA9F">
      <w:pPr>
        <w:adjustRightInd w:val="0"/>
        <w:snapToGrid w:val="0"/>
        <w:spacing w:line="360" w:lineRule="auto"/>
        <w:rPr>
          <w:rFonts w:ascii="宋体" w:hAnsi="宋体" w:cs="宋体"/>
          <w:color w:val="auto"/>
          <w:kern w:val="0"/>
          <w:sz w:val="24"/>
          <w:highlight w:val="none"/>
          <w:u w:val="single"/>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电  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18B7FAA0">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中国邮政储蓄银行股份有限公</w:t>
      </w:r>
      <w:r>
        <w:rPr>
          <w:rFonts w:hint="eastAsia" w:ascii="宋体" w:hAnsi="宋体" w:cs="宋体"/>
          <w:color w:val="auto"/>
          <w:kern w:val="0"/>
          <w:sz w:val="24"/>
          <w:highlight w:val="none"/>
        </w:rPr>
        <w:t xml:space="preserve">  开户银行：</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8B7FAA1">
      <w:pPr>
        <w:adjustRightInd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u w:val="single"/>
        </w:rPr>
        <w:t>司海安市宁海路支行</w:t>
      </w:r>
    </w:p>
    <w:p w14:paraId="18B7FAA2">
      <w:pPr>
        <w:adjustRightInd w:val="0"/>
        <w:snapToGrid w:val="0"/>
        <w:spacing w:line="360" w:lineRule="auto"/>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账  号： </w:t>
      </w:r>
      <w:r>
        <w:rPr>
          <w:rFonts w:hint="eastAsia" w:ascii="宋体" w:hAnsi="宋体" w:cs="宋体"/>
          <w:color w:val="auto"/>
          <w:kern w:val="0"/>
          <w:sz w:val="24"/>
          <w:highlight w:val="none"/>
          <w:u w:val="single"/>
        </w:rPr>
        <w:t xml:space="preserve">932066013187988888       </w:t>
      </w:r>
      <w:r>
        <w:rPr>
          <w:rFonts w:hint="eastAsia" w:ascii="宋体" w:hAnsi="宋体" w:cs="宋体"/>
          <w:color w:val="auto"/>
          <w:kern w:val="0"/>
          <w:sz w:val="24"/>
          <w:highlight w:val="none"/>
        </w:rPr>
        <w:t xml:space="preserve">    账  号：</w:t>
      </w:r>
      <w:r>
        <w:rPr>
          <w:rFonts w:hint="eastAsia" w:ascii="宋体" w:hAnsi="宋体" w:cs="宋体"/>
          <w:color w:val="auto"/>
          <w:kern w:val="0"/>
          <w:sz w:val="24"/>
          <w:highlight w:val="none"/>
          <w:u w:val="single"/>
        </w:rPr>
        <w:t xml:space="preserve">                     </w:t>
      </w:r>
    </w:p>
    <w:p w14:paraId="18B7FAA3">
      <w:pPr>
        <w:adjustRightInd w:val="0"/>
        <w:snapToGrid w:val="0"/>
        <w:spacing w:line="360" w:lineRule="auto"/>
        <w:jc w:val="left"/>
        <w:rPr>
          <w:rFonts w:ascii="宋体" w:hAnsi="宋体" w:cs="宋体"/>
          <w:b/>
          <w:bCs/>
          <w:color w:val="auto"/>
          <w:kern w:val="0"/>
          <w:sz w:val="24"/>
          <w:highlight w:val="none"/>
        </w:rPr>
      </w:pPr>
      <w:r>
        <w:rPr>
          <w:rFonts w:hint="eastAsia" w:ascii="宋体" w:hAnsi="宋体" w:cs="宋体"/>
          <w:color w:val="auto"/>
          <w:kern w:val="0"/>
          <w:sz w:val="24"/>
          <w:highlight w:val="none"/>
        </w:rPr>
        <w:t>时  间：</w:t>
      </w:r>
      <w:r>
        <w:rPr>
          <w:rFonts w:hint="eastAsia" w:ascii="宋体" w:hAnsi="宋体" w:cs="宋体"/>
          <w:color w:val="auto"/>
          <w:kern w:val="0"/>
          <w:sz w:val="24"/>
          <w:highlight w:val="none"/>
          <w:u w:val="single"/>
        </w:rPr>
        <w:t xml:space="preserve"> 2025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            时  间：</w:t>
      </w:r>
      <w:r>
        <w:rPr>
          <w:rFonts w:hint="eastAsia" w:ascii="宋体" w:hAnsi="宋体" w:cs="宋体"/>
          <w:color w:val="auto"/>
          <w:kern w:val="0"/>
          <w:sz w:val="24"/>
          <w:highlight w:val="none"/>
          <w:u w:val="single"/>
        </w:rPr>
        <w:t xml:space="preserve"> 2025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bookmarkEnd w:id="18"/>
    <w:p w14:paraId="28DBAD24">
      <w:pPr>
        <w:rPr>
          <w:rFonts w:hint="eastAsia" w:ascii="宋体" w:hAnsi="宋体" w:eastAsia="宋体" w:cs="宋体"/>
          <w:color w:val="auto"/>
          <w:spacing w:val="0"/>
          <w:w w:val="100"/>
          <w:kern w:val="0"/>
          <w:sz w:val="24"/>
          <w:highlight w:val="none"/>
        </w:rPr>
      </w:pPr>
    </w:p>
    <w:p w14:paraId="3F4DB16B">
      <w:pPr>
        <w:pageBreakBefore w:val="0"/>
        <w:widowControl/>
        <w:bidi w:val="0"/>
        <w:adjustRightInd w:val="0"/>
        <w:snapToGrid w:val="0"/>
        <w:spacing w:line="360" w:lineRule="auto"/>
        <w:ind w:firstLine="482" w:firstLineChars="200"/>
        <w:rPr>
          <w:rFonts w:hint="eastAsia" w:ascii="宋体" w:hAnsi="宋体" w:eastAsia="宋体" w:cs="宋体"/>
          <w:b/>
          <w:color w:val="auto"/>
          <w:spacing w:val="0"/>
          <w:w w:val="100"/>
          <w:kern w:val="0"/>
          <w:sz w:val="24"/>
          <w:highlight w:val="none"/>
        </w:rPr>
      </w:pPr>
    </w:p>
    <w:p w14:paraId="2FF9B0D0">
      <w:pPr>
        <w:pageBreakBefore w:val="0"/>
        <w:widowControl/>
        <w:bidi w:val="0"/>
        <w:adjustRightInd w:val="0"/>
        <w:snapToGrid w:val="0"/>
        <w:spacing w:line="360" w:lineRule="auto"/>
        <w:ind w:firstLine="482" w:firstLineChars="200"/>
        <w:rPr>
          <w:rFonts w:hint="eastAsia" w:ascii="宋体" w:hAnsi="宋体" w:eastAsia="宋体" w:cs="宋体"/>
          <w:b/>
          <w:color w:val="auto"/>
          <w:spacing w:val="0"/>
          <w:w w:val="100"/>
          <w:kern w:val="0"/>
          <w:sz w:val="24"/>
          <w:highlight w:val="none"/>
        </w:rPr>
      </w:pPr>
      <w:r>
        <w:rPr>
          <w:rFonts w:hint="eastAsia" w:ascii="宋体" w:hAnsi="宋体" w:eastAsia="宋体" w:cs="宋体"/>
          <w:b/>
          <w:color w:val="auto"/>
          <w:spacing w:val="0"/>
          <w:w w:val="100"/>
          <w:kern w:val="0"/>
          <w:sz w:val="24"/>
          <w:highlight w:val="none"/>
          <w:lang w:eastAsia="zh-CN"/>
        </w:rPr>
        <w:t>招标人</w:t>
      </w:r>
      <w:r>
        <w:rPr>
          <w:rFonts w:hint="eastAsia" w:ascii="宋体" w:hAnsi="宋体" w:eastAsia="宋体" w:cs="宋体"/>
          <w:b/>
          <w:color w:val="auto"/>
          <w:spacing w:val="0"/>
          <w:w w:val="100"/>
          <w:kern w:val="0"/>
          <w:sz w:val="24"/>
          <w:highlight w:val="none"/>
        </w:rPr>
        <w:t>保留对合同修改和完善的权利。</w:t>
      </w:r>
    </w:p>
    <w:p w14:paraId="48596EB9">
      <w:pPr>
        <w:rPr>
          <w:rFonts w:ascii="宋体" w:hAnsi="宋体" w:cs="宋体"/>
          <w:b/>
          <w:color w:val="auto"/>
          <w:kern w:val="0"/>
          <w:sz w:val="32"/>
          <w:szCs w:val="36"/>
          <w:highlight w:val="none"/>
        </w:rPr>
      </w:pPr>
      <w:r>
        <w:rPr>
          <w:rFonts w:hint="eastAsia" w:ascii="宋体" w:hAnsi="宋体" w:cs="宋体"/>
          <w:color w:val="auto"/>
          <w:kern w:val="0"/>
          <w:sz w:val="24"/>
          <w:szCs w:val="24"/>
          <w:highlight w:val="none"/>
        </w:rPr>
        <w:br w:type="page"/>
      </w:r>
    </w:p>
    <w:p w14:paraId="0F3A7218">
      <w:pPr>
        <w:pStyle w:val="46"/>
        <w:adjustRightInd w:val="0"/>
        <w:snapToGrid w:val="0"/>
        <w:spacing w:after="0" w:line="360" w:lineRule="auto"/>
        <w:ind w:left="0" w:leftChars="0" w:firstLine="0" w:firstLineChars="0"/>
        <w:jc w:val="center"/>
        <w:outlineLvl w:val="0"/>
        <w:rPr>
          <w:rFonts w:ascii="宋体" w:hAnsi="宋体" w:cs="宋体"/>
          <w:b/>
          <w:bCs/>
          <w:color w:val="auto"/>
          <w:kern w:val="0"/>
          <w:sz w:val="44"/>
          <w:szCs w:val="44"/>
          <w:highlight w:val="none"/>
        </w:rPr>
      </w:pPr>
      <w:r>
        <w:rPr>
          <w:rFonts w:hint="eastAsia" w:ascii="宋体" w:hAnsi="宋体" w:cs="宋体"/>
          <w:b/>
          <w:color w:val="auto"/>
          <w:kern w:val="0"/>
          <w:sz w:val="32"/>
          <w:szCs w:val="36"/>
          <w:highlight w:val="none"/>
        </w:rPr>
        <w:t>第六章 合同授予</w:t>
      </w:r>
      <w:bookmarkEnd w:id="17"/>
    </w:p>
    <w:p w14:paraId="06D4AC6D">
      <w:pPr>
        <w:adjustRightInd w:val="0"/>
        <w:snapToGrid w:val="0"/>
        <w:spacing w:line="360" w:lineRule="auto"/>
        <w:ind w:firstLine="573"/>
        <w:rPr>
          <w:rFonts w:ascii="宋体" w:hAnsi="宋体" w:cs="宋体"/>
          <w:color w:val="auto"/>
          <w:kern w:val="0"/>
          <w:sz w:val="28"/>
          <w:szCs w:val="28"/>
          <w:highlight w:val="none"/>
        </w:rPr>
      </w:pPr>
      <w:r>
        <w:rPr>
          <w:rFonts w:hint="eastAsia" w:ascii="宋体" w:hAnsi="宋体" w:cs="宋体"/>
          <w:color w:val="auto"/>
          <w:kern w:val="0"/>
          <w:sz w:val="24"/>
          <w:szCs w:val="24"/>
          <w:highlight w:val="none"/>
        </w:rPr>
        <w:t>一、中标人在成交通知书发出后</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日内按照磋商文件确定的事项和采购单位签订采购合同。合同一式肆份，所签合同不得对采购文件作实质性修改。采购单位不得向中标人提出不合理的要求作为签订合同的条件，不得与中标人私下订立背离采购文件实质性内容的协议。</w:t>
      </w:r>
    </w:p>
    <w:p w14:paraId="78CD8C77">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二、采购单位按合同约定积极配合中标人履约，中标人履约到位后，请以书面形式向采购单位提出验收申请。</w:t>
      </w:r>
    </w:p>
    <w:p w14:paraId="0554A5C2">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06F6E6B9">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四、中标人出现违约情形，应当及时纠正或补偿；造成损失的，按合同约定追究违约责任；发现有假冒、伪劣、走私产品、商业贿赂等违法情形的，应由采购单位移交工商、质监、公安等行政执法部门依法查处。</w:t>
      </w:r>
    </w:p>
    <w:p w14:paraId="3D124264">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五、不响应付款方式的，视同响应文件无效，按无效响应文件处理。</w:t>
      </w:r>
    </w:p>
    <w:p w14:paraId="71BF6BE9">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六、以上项目款的支付不计息。</w:t>
      </w:r>
    </w:p>
    <w:p w14:paraId="657B4394">
      <w:pPr>
        <w:widowControl/>
        <w:adjustRightInd w:val="0"/>
        <w:snapToGrid w:val="0"/>
        <w:spacing w:line="360" w:lineRule="auto"/>
        <w:jc w:val="left"/>
        <w:rPr>
          <w:rFonts w:ascii="宋体" w:hAnsi="宋体" w:cs="宋体"/>
          <w:b/>
          <w:color w:val="auto"/>
          <w:kern w:val="0"/>
          <w:sz w:val="44"/>
          <w:szCs w:val="44"/>
          <w:highlight w:val="none"/>
        </w:rPr>
      </w:pPr>
    </w:p>
    <w:p w14:paraId="504E5869">
      <w:pPr>
        <w:widowControl/>
        <w:adjustRightInd w:val="0"/>
        <w:snapToGrid w:val="0"/>
        <w:spacing w:line="360" w:lineRule="auto"/>
        <w:jc w:val="left"/>
        <w:rPr>
          <w:rFonts w:ascii="宋体" w:hAnsi="宋体" w:cs="宋体"/>
          <w:b/>
          <w:color w:val="auto"/>
          <w:kern w:val="0"/>
          <w:sz w:val="44"/>
          <w:szCs w:val="44"/>
          <w:highlight w:val="none"/>
        </w:rPr>
      </w:pPr>
    </w:p>
    <w:p w14:paraId="5DE448FB">
      <w:pPr>
        <w:pStyle w:val="24"/>
        <w:tabs>
          <w:tab w:val="left" w:pos="1050"/>
          <w:tab w:val="right" w:leader="dot" w:pos="9402"/>
        </w:tabs>
        <w:adjustRightInd w:val="0"/>
        <w:snapToGrid w:val="0"/>
        <w:spacing w:line="360" w:lineRule="auto"/>
        <w:ind w:left="0" w:leftChars="0"/>
        <w:jc w:val="center"/>
        <w:textAlignment w:val="baseline"/>
        <w:outlineLvl w:val="0"/>
        <w:rPr>
          <w:rFonts w:ascii="宋体" w:hAnsi="宋体" w:cs="宋体"/>
          <w:color w:val="auto"/>
          <w:kern w:val="0"/>
          <w:sz w:val="32"/>
          <w:szCs w:val="32"/>
          <w:highlight w:val="none"/>
        </w:rPr>
      </w:pPr>
      <w:r>
        <w:rPr>
          <w:rFonts w:hint="eastAsia" w:ascii="宋体" w:hAnsi="宋体" w:cs="宋体"/>
          <w:b/>
          <w:color w:val="auto"/>
          <w:kern w:val="0"/>
          <w:sz w:val="44"/>
          <w:szCs w:val="44"/>
          <w:highlight w:val="none"/>
        </w:rPr>
        <w:br w:type="page"/>
      </w:r>
      <w:bookmarkStart w:id="19" w:name="_Toc15753"/>
      <w:r>
        <w:rPr>
          <w:rFonts w:hint="eastAsia" w:ascii="宋体" w:hAnsi="宋体" w:cs="宋体"/>
          <w:b/>
          <w:iCs/>
          <w:color w:val="auto"/>
          <w:kern w:val="0"/>
          <w:sz w:val="32"/>
          <w:szCs w:val="32"/>
          <w:highlight w:val="none"/>
        </w:rPr>
        <w:t>第七章 质疑提出和处理</w:t>
      </w:r>
      <w:bookmarkEnd w:id="19"/>
    </w:p>
    <w:p w14:paraId="3AFDFBA8">
      <w:pPr>
        <w:adjustRightInd w:val="0"/>
        <w:snapToGrid w:val="0"/>
        <w:spacing w:line="360" w:lineRule="auto"/>
        <w:ind w:firstLine="482" w:firstLineChars="200"/>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一、质疑的提出</w:t>
      </w:r>
    </w:p>
    <w:p w14:paraId="2346B61C">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1、提出质疑的供应商应当是参与所质疑项目采购活动的供应商。潜在供应商依法获取其可质疑的采购文件的，可以对采购文件提出质疑。</w:t>
      </w:r>
    </w:p>
    <w:p w14:paraId="7747EB8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29D4C6F2">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2.1对可以质疑的采购文件提出质疑的，为收到采购文件之日或者采购文件公告期限届满之日；</w:t>
      </w:r>
    </w:p>
    <w:p w14:paraId="0720FD88">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2.2对采购过程提出质疑的，为各采购程序环节结束之日；</w:t>
      </w:r>
    </w:p>
    <w:p w14:paraId="43A0DB77">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2.3对成交结果提出质疑的，为成交结果公告期限届满之日。</w:t>
      </w:r>
    </w:p>
    <w:p w14:paraId="272DF99C">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供应商应当在法定质疑期内一次性提出针对同一采购程序环节的质疑。</w:t>
      </w:r>
    </w:p>
    <w:p w14:paraId="49BBC26E">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3、质疑函必须按照本</w:t>
      </w:r>
      <w:r>
        <w:rPr>
          <w:rFonts w:hint="eastAsia" w:ascii="宋体" w:hAnsi="宋体" w:cs="宋体"/>
          <w:bCs/>
          <w:color w:val="auto"/>
          <w:kern w:val="0"/>
          <w:sz w:val="24"/>
          <w:szCs w:val="24"/>
          <w:highlight w:val="none"/>
          <w:shd w:val="clear" w:color="auto" w:fill="FFFFFF"/>
        </w:rPr>
        <w:t>采购</w:t>
      </w:r>
      <w:r>
        <w:rPr>
          <w:rFonts w:hint="eastAsia" w:ascii="宋体" w:hAnsi="宋体" w:cs="宋体"/>
          <w:color w:val="auto"/>
          <w:kern w:val="0"/>
          <w:sz w:val="24"/>
          <w:szCs w:val="24"/>
          <w:highlight w:val="none"/>
        </w:rPr>
        <w:t>文件中《质疑函范本》要求的格式和内容进行填写。供应商如组成联合体参加采购活动，则《质疑函范本》中要求签字、盖章、加盖公章之处，联合体各方均须按要求签字、盖章、加盖公章。</w:t>
      </w:r>
    </w:p>
    <w:p w14:paraId="7474FA5A">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4、对采购方式、</w:t>
      </w:r>
      <w:r>
        <w:rPr>
          <w:rFonts w:hint="eastAsia" w:ascii="宋体" w:hAnsi="宋体" w:cs="宋体"/>
          <w:bCs/>
          <w:color w:val="auto"/>
          <w:kern w:val="0"/>
          <w:sz w:val="24"/>
          <w:szCs w:val="24"/>
          <w:highlight w:val="none"/>
          <w:shd w:val="clear" w:color="auto" w:fill="FFFFFF"/>
        </w:rPr>
        <w:t>采购</w:t>
      </w:r>
      <w:r>
        <w:rPr>
          <w:rFonts w:hint="eastAsia" w:ascii="宋体" w:hAnsi="宋体" w:cs="宋体"/>
          <w:color w:val="auto"/>
          <w:kern w:val="0"/>
          <w:sz w:val="24"/>
          <w:szCs w:val="24"/>
          <w:highlight w:val="none"/>
        </w:rPr>
        <w:t>文件中项目需求、供应商资格条件、评审方法和评审标准、资格审查结果等应当由采购人答复的质疑，请向采购人提出，由采购人负责答复。</w:t>
      </w:r>
    </w:p>
    <w:p w14:paraId="57EF869A">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采购人质疑接收人及联系方式，见</w:t>
      </w:r>
      <w:r>
        <w:rPr>
          <w:rFonts w:hint="eastAsia" w:ascii="宋体" w:hAnsi="宋体" w:cs="宋体"/>
          <w:bCs/>
          <w:color w:val="auto"/>
          <w:kern w:val="0"/>
          <w:sz w:val="24"/>
          <w:szCs w:val="24"/>
          <w:highlight w:val="none"/>
          <w:shd w:val="clear" w:color="auto" w:fill="FFFFFF"/>
        </w:rPr>
        <w:t>采购</w:t>
      </w:r>
      <w:r>
        <w:rPr>
          <w:rFonts w:hint="eastAsia" w:ascii="宋体" w:hAnsi="宋体" w:cs="宋体"/>
          <w:color w:val="auto"/>
          <w:kern w:val="0"/>
          <w:sz w:val="24"/>
          <w:szCs w:val="24"/>
          <w:highlight w:val="none"/>
        </w:rPr>
        <w:t>文件第一章。</w:t>
      </w:r>
    </w:p>
    <w:p w14:paraId="34F6FA0B">
      <w:pPr>
        <w:adjustRightInd w:val="0"/>
        <w:snapToGrid w:val="0"/>
        <w:spacing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5、以下情形的质疑不予受理</w:t>
      </w:r>
    </w:p>
    <w:p w14:paraId="0C96F5B4">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5.1内容不符合《政府采购质疑和投诉办法》财政部第94号令第十二条规定的质疑。</w:t>
      </w:r>
    </w:p>
    <w:p w14:paraId="20B86D3C">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5.2超出政府采购法定期限的质疑。</w:t>
      </w:r>
    </w:p>
    <w:p w14:paraId="7D7F15EC">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5.3未参加采购活动的供应商。</w:t>
      </w:r>
    </w:p>
    <w:p w14:paraId="666FD004">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5.4供应商组成联合体参加采购活动，联合体中任何一方或多方未按要求签字、盖章、加盖公章的质疑。</w:t>
      </w:r>
    </w:p>
    <w:p w14:paraId="69A93B81">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A3CAAAC">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b/>
          <w:bCs/>
          <w:color w:val="auto"/>
          <w:kern w:val="0"/>
          <w:sz w:val="24"/>
          <w:szCs w:val="24"/>
          <w:highlight w:val="none"/>
        </w:rPr>
        <w:t>附件：</w:t>
      </w:r>
    </w:p>
    <w:p w14:paraId="7DB97598">
      <w:pPr>
        <w:adjustRightInd w:val="0"/>
        <w:snapToGrid w:val="0"/>
        <w:spacing w:line="360" w:lineRule="auto"/>
        <w:jc w:val="center"/>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质疑函范本</w:t>
      </w:r>
    </w:p>
    <w:p w14:paraId="6609FF72">
      <w:pPr>
        <w:adjustRightInd w:val="0"/>
        <w:snapToGrid w:val="0"/>
        <w:spacing w:line="360" w:lineRule="auto"/>
        <w:ind w:firstLine="480" w:firstLineChars="200"/>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一、质疑供应商基本信息</w:t>
      </w:r>
    </w:p>
    <w:p w14:paraId="28386189">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质疑供应商：</w:t>
      </w:r>
    </w:p>
    <w:p w14:paraId="4C188600">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地址：邮编：</w:t>
      </w:r>
    </w:p>
    <w:p w14:paraId="2A0516E2">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联系人：联系电话：</w:t>
      </w:r>
    </w:p>
    <w:p w14:paraId="1E895B48">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授权代表：</w:t>
      </w:r>
    </w:p>
    <w:p w14:paraId="7913E11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p w14:paraId="6F31E324">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地址：邮编：</w:t>
      </w:r>
    </w:p>
    <w:p w14:paraId="55B0A75D">
      <w:pPr>
        <w:adjustRightInd w:val="0"/>
        <w:snapToGrid w:val="0"/>
        <w:spacing w:line="360" w:lineRule="auto"/>
        <w:ind w:firstLine="480" w:firstLineChars="200"/>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二、质疑项目基本情况</w:t>
      </w:r>
    </w:p>
    <w:p w14:paraId="57C1479E">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质疑项目的名称：</w:t>
      </w:r>
    </w:p>
    <w:p w14:paraId="73D6C7E2">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质疑项目的编号：包号：</w:t>
      </w:r>
    </w:p>
    <w:p w14:paraId="6C920ABB">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采购人名称：</w:t>
      </w:r>
    </w:p>
    <w:p w14:paraId="3C5FD0D6">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采购文件获取日期：</w:t>
      </w:r>
    </w:p>
    <w:p w14:paraId="0458B2AA">
      <w:pPr>
        <w:adjustRightInd w:val="0"/>
        <w:snapToGrid w:val="0"/>
        <w:spacing w:line="360" w:lineRule="auto"/>
        <w:ind w:firstLine="480" w:firstLineChars="200"/>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三、质疑事项具体内容</w:t>
      </w:r>
    </w:p>
    <w:p w14:paraId="1E98E9DA">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质疑事项1：</w:t>
      </w:r>
    </w:p>
    <w:p w14:paraId="03E45FE6">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事实依据：</w:t>
      </w:r>
    </w:p>
    <w:p w14:paraId="62608769">
      <w:pPr>
        <w:adjustRightInd w:val="0"/>
        <w:snapToGrid w:val="0"/>
        <w:spacing w:line="360" w:lineRule="auto"/>
        <w:ind w:firstLine="480" w:firstLineChars="200"/>
        <w:rPr>
          <w:rFonts w:ascii="宋体" w:hAnsi="宋体" w:cs="宋体"/>
          <w:color w:val="auto"/>
          <w:kern w:val="0"/>
          <w:sz w:val="24"/>
          <w:szCs w:val="24"/>
          <w:highlight w:val="none"/>
        </w:rPr>
      </w:pPr>
    </w:p>
    <w:p w14:paraId="195ABE94">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法律依据：</w:t>
      </w:r>
    </w:p>
    <w:p w14:paraId="68A3C673">
      <w:pPr>
        <w:adjustRightInd w:val="0"/>
        <w:snapToGrid w:val="0"/>
        <w:spacing w:line="360" w:lineRule="auto"/>
        <w:ind w:firstLine="480" w:firstLineChars="200"/>
        <w:rPr>
          <w:rFonts w:ascii="宋体" w:hAnsi="宋体" w:cs="宋体"/>
          <w:color w:val="auto"/>
          <w:kern w:val="0"/>
          <w:sz w:val="24"/>
          <w:szCs w:val="24"/>
          <w:highlight w:val="none"/>
          <w:u w:val="dotted"/>
        </w:rPr>
      </w:pPr>
    </w:p>
    <w:p w14:paraId="5D60BD2A">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质疑事项2</w:t>
      </w:r>
    </w:p>
    <w:p w14:paraId="53A6A8C0">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160AD567">
      <w:pPr>
        <w:adjustRightInd w:val="0"/>
        <w:snapToGrid w:val="0"/>
        <w:spacing w:line="360" w:lineRule="auto"/>
        <w:ind w:firstLine="480" w:firstLineChars="200"/>
        <w:outlineLvl w:val="1"/>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四、与质疑事项相关的质疑请求</w:t>
      </w:r>
    </w:p>
    <w:p w14:paraId="4A1D375E">
      <w:pPr>
        <w:adjustRightInd w:val="0"/>
        <w:snapToGrid w:val="0"/>
        <w:spacing w:line="360" w:lineRule="auto"/>
        <w:ind w:firstLine="480" w:firstLineChars="200"/>
        <w:rPr>
          <w:rFonts w:ascii="宋体" w:hAnsi="宋体" w:cs="宋体"/>
          <w:color w:val="auto"/>
          <w:kern w:val="0"/>
          <w:sz w:val="24"/>
          <w:szCs w:val="24"/>
          <w:highlight w:val="none"/>
          <w:u w:val="dotted"/>
        </w:rPr>
      </w:pPr>
      <w:r>
        <w:rPr>
          <w:rFonts w:hint="eastAsia" w:ascii="宋体" w:hAnsi="宋体" w:cs="宋体"/>
          <w:color w:val="auto"/>
          <w:kern w:val="0"/>
          <w:sz w:val="24"/>
          <w:szCs w:val="24"/>
          <w:highlight w:val="none"/>
        </w:rPr>
        <w:t>请求：</w:t>
      </w:r>
    </w:p>
    <w:p w14:paraId="2AAF78AC">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签字(签章)：                   公章：                      </w:t>
      </w:r>
    </w:p>
    <w:p w14:paraId="7FC3FFE2">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日期：    </w:t>
      </w:r>
    </w:p>
    <w:p w14:paraId="6463C35F">
      <w:pPr>
        <w:adjustRightInd w:val="0"/>
        <w:snapToGrid w:val="0"/>
        <w:spacing w:line="360" w:lineRule="auto"/>
        <w:ind w:firstLine="480" w:firstLineChars="200"/>
        <w:rPr>
          <w:rFonts w:ascii="宋体" w:hAnsi="宋体" w:cs="宋体"/>
          <w:color w:val="auto"/>
          <w:kern w:val="0"/>
          <w:sz w:val="24"/>
          <w:szCs w:val="24"/>
          <w:highlight w:val="none"/>
        </w:rPr>
      </w:pPr>
    </w:p>
    <w:p w14:paraId="36C2BC83">
      <w:pPr>
        <w:adjustRightInd w:val="0"/>
        <w:snapToGrid w:val="0"/>
        <w:spacing w:line="360" w:lineRule="auto"/>
        <w:ind w:firstLine="482" w:firstLineChars="200"/>
        <w:rPr>
          <w:rFonts w:ascii="宋体" w:hAnsi="宋体" w:cs="宋体"/>
          <w:b/>
          <w:color w:val="auto"/>
          <w:kern w:val="0"/>
          <w:sz w:val="24"/>
          <w:szCs w:val="24"/>
          <w:highlight w:val="none"/>
        </w:rPr>
      </w:pPr>
    </w:p>
    <w:p w14:paraId="3D9B6892">
      <w:pPr>
        <w:widowControl/>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2F540F15">
      <w:pPr>
        <w:widowControl/>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质疑函制作说明：</w:t>
      </w:r>
    </w:p>
    <w:p w14:paraId="621AFF34">
      <w:pPr>
        <w:widowControl/>
        <w:adjustRightInd w:val="0"/>
        <w:snapToGrid w:val="0"/>
        <w:spacing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1、供应商提出质疑时，应提交质疑函和必要的证明材料。</w:t>
      </w:r>
    </w:p>
    <w:p w14:paraId="19B38543">
      <w:pPr>
        <w:widowControl/>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5300B5F">
      <w:pPr>
        <w:widowControl/>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3、质疑供应商若对项目的某一分包进行质疑，质疑函中应列明具体分包号。</w:t>
      </w:r>
    </w:p>
    <w:p w14:paraId="486E6456">
      <w:pPr>
        <w:widowControl/>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4、质疑函的质疑事项应具体、明确，并有必要的事实依据和法律依据。</w:t>
      </w:r>
    </w:p>
    <w:p w14:paraId="39D4B37F">
      <w:pPr>
        <w:widowControl/>
        <w:adjustRightInd w:val="0"/>
        <w:snapToGrid w:val="0"/>
        <w:spacing w:line="360" w:lineRule="auto"/>
        <w:ind w:firstLine="480" w:firstLineChars="200"/>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5、质疑函的质疑请求应与质疑事项相关。</w:t>
      </w:r>
    </w:p>
    <w:p w14:paraId="03AA670A">
      <w:pPr>
        <w:adjustRightInd w:val="0"/>
        <w:snapToGrid w:val="0"/>
        <w:spacing w:line="360" w:lineRule="auto"/>
        <w:ind w:firstLine="480" w:firstLineChars="200"/>
        <w:rPr>
          <w:rFonts w:ascii="宋体" w:hAnsi="宋体" w:cs="宋体"/>
          <w:b/>
          <w:color w:val="auto"/>
          <w:kern w:val="0"/>
          <w:sz w:val="44"/>
          <w:szCs w:val="44"/>
          <w:highlight w:val="none"/>
        </w:rPr>
      </w:pPr>
      <w:r>
        <w:rPr>
          <w:rFonts w:hint="eastAsia" w:ascii="宋体" w:hAnsi="宋体" w:cs="宋体"/>
          <w:color w:val="auto"/>
          <w:kern w:val="0"/>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cs="宋体"/>
          <w:b/>
          <w:color w:val="auto"/>
          <w:kern w:val="0"/>
          <w:sz w:val="44"/>
          <w:szCs w:val="44"/>
          <w:highlight w:val="none"/>
        </w:rPr>
        <w:br w:type="page"/>
      </w:r>
    </w:p>
    <w:p w14:paraId="44BB056B">
      <w:pPr>
        <w:pStyle w:val="46"/>
        <w:adjustRightInd w:val="0"/>
        <w:snapToGrid w:val="0"/>
        <w:spacing w:after="0" w:line="360" w:lineRule="auto"/>
        <w:ind w:left="0" w:leftChars="0" w:firstLine="0" w:firstLineChars="0"/>
        <w:jc w:val="center"/>
        <w:outlineLvl w:val="0"/>
        <w:rPr>
          <w:rFonts w:ascii="宋体" w:hAnsi="宋体" w:cs="宋体"/>
          <w:b/>
          <w:color w:val="auto"/>
          <w:kern w:val="0"/>
          <w:sz w:val="44"/>
          <w:highlight w:val="none"/>
        </w:rPr>
      </w:pPr>
      <w:bookmarkStart w:id="20" w:name="_Toc8589"/>
      <w:r>
        <w:rPr>
          <w:rFonts w:hint="eastAsia" w:ascii="宋体" w:hAnsi="宋体" w:cs="宋体"/>
          <w:b/>
          <w:color w:val="auto"/>
          <w:kern w:val="0"/>
          <w:sz w:val="32"/>
          <w:szCs w:val="36"/>
          <w:highlight w:val="none"/>
        </w:rPr>
        <w:t>第八章 响应文件组成及格式</w:t>
      </w:r>
      <w:bookmarkEnd w:id="20"/>
    </w:p>
    <w:p w14:paraId="6A1E8747">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响应文件由</w:t>
      </w:r>
      <w:r>
        <w:rPr>
          <w:rFonts w:hint="eastAsia" w:ascii="宋体" w:hAnsi="宋体" w:cs="宋体"/>
          <w:b/>
          <w:bCs/>
          <w:color w:val="auto"/>
          <w:kern w:val="0"/>
          <w:sz w:val="24"/>
          <w:szCs w:val="24"/>
          <w:highlight w:val="none"/>
          <w:u w:val="single"/>
        </w:rPr>
        <w:t>资格审查文件、技术响应文件、报价响应文件</w:t>
      </w:r>
      <w:r>
        <w:rPr>
          <w:rFonts w:hint="eastAsia" w:ascii="宋体" w:hAnsi="宋体" w:cs="宋体"/>
          <w:b/>
          <w:bCs/>
          <w:color w:val="auto"/>
          <w:kern w:val="0"/>
          <w:sz w:val="24"/>
          <w:szCs w:val="24"/>
          <w:highlight w:val="none"/>
          <w:u w:val="single"/>
          <w:lang w:eastAsia="zh-CN"/>
        </w:rPr>
        <w:t>、</w:t>
      </w:r>
      <w:r>
        <w:rPr>
          <w:rFonts w:hint="eastAsia" w:ascii="宋体" w:hAnsi="宋体" w:cs="宋体"/>
          <w:b/>
          <w:bCs/>
          <w:color w:val="auto"/>
          <w:kern w:val="0"/>
          <w:sz w:val="24"/>
          <w:szCs w:val="24"/>
          <w:highlight w:val="none"/>
          <w:u w:val="single"/>
          <w:lang w:val="en-US" w:eastAsia="zh-CN"/>
        </w:rPr>
        <w:t>电子响应文件</w:t>
      </w:r>
      <w:r>
        <w:rPr>
          <w:rFonts w:hint="eastAsia" w:ascii="宋体" w:hAnsi="宋体" w:cs="宋体"/>
          <w:b/>
          <w:bCs/>
          <w:color w:val="auto"/>
          <w:kern w:val="0"/>
          <w:sz w:val="24"/>
          <w:szCs w:val="24"/>
          <w:highlight w:val="none"/>
          <w:u w:val="none"/>
          <w:lang w:val="en-US" w:eastAsia="zh-CN"/>
        </w:rPr>
        <w:t>四</w:t>
      </w:r>
      <w:r>
        <w:rPr>
          <w:rFonts w:hint="eastAsia" w:ascii="宋体" w:hAnsi="宋体" w:cs="宋体"/>
          <w:b/>
          <w:bCs/>
          <w:color w:val="auto"/>
          <w:kern w:val="0"/>
          <w:sz w:val="24"/>
          <w:szCs w:val="24"/>
          <w:highlight w:val="none"/>
        </w:rPr>
        <w:t>部分组成。本次竞争性磋商采用资格后审方式，供应商须将资格审查文件作为响应文件组成部分，按磋商文件要求装订密封后一起递交。</w:t>
      </w:r>
    </w:p>
    <w:p w14:paraId="439E66F7">
      <w:pPr>
        <w:adjustRightInd w:val="0"/>
        <w:snapToGrid w:val="0"/>
        <w:spacing w:line="360" w:lineRule="auto"/>
        <w:ind w:firstLine="482" w:firstLineChars="200"/>
        <w:textAlignment w:val="baseline"/>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一、资格审查文件（单独密封）：</w:t>
      </w:r>
    </w:p>
    <w:p w14:paraId="3D9F22C8">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1、投标人具有独立承担民事责任的能力，提供法人或者其他组织的营业执照等证明文件</w:t>
      </w:r>
      <w:r>
        <w:rPr>
          <w:rFonts w:hint="eastAsia" w:ascii="宋体" w:hAnsi="宋体" w:cs="宋体"/>
          <w:b w:val="0"/>
          <w:bCs w:val="0"/>
          <w:color w:val="auto"/>
          <w:kern w:val="0"/>
          <w:sz w:val="24"/>
          <w:szCs w:val="24"/>
          <w:highlight w:val="none"/>
          <w:u w:val="none"/>
        </w:rPr>
        <w:t>，并在人员、设备、资金等方面具有相应的施工能力</w:t>
      </w:r>
      <w:r>
        <w:rPr>
          <w:rFonts w:hint="eastAsia" w:ascii="宋体" w:hAnsi="宋体" w:cs="宋体"/>
          <w:color w:val="auto"/>
          <w:kern w:val="0"/>
          <w:sz w:val="24"/>
          <w:szCs w:val="24"/>
          <w:highlight w:val="none"/>
        </w:rPr>
        <w:t>。</w:t>
      </w:r>
    </w:p>
    <w:p w14:paraId="332B560B">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如为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须加盖公章）（格式参见附件）；</w:t>
      </w:r>
    </w:p>
    <w:p w14:paraId="78A20EE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、供应商符合规定条件的声明函（格式参见附件）；</w:t>
      </w:r>
    </w:p>
    <w:p w14:paraId="2E7516B0">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rPr>
        <w:t>、</w:t>
      </w:r>
      <w:r>
        <w:rPr>
          <w:rFonts w:hint="eastAsia" w:ascii="宋体" w:hAnsi="宋体" w:cs="宋体"/>
          <w:color w:val="auto"/>
          <w:kern w:val="0"/>
          <w:sz w:val="24"/>
          <w:szCs w:val="24"/>
          <w:highlight w:val="none"/>
        </w:rPr>
        <w:t>供应商须提供诚信承诺书（格式见附件）；</w:t>
      </w:r>
    </w:p>
    <w:p w14:paraId="35D89B3F">
      <w:pPr>
        <w:adjustRightInd w:val="0"/>
        <w:snapToGrid w:val="0"/>
        <w:spacing w:line="360" w:lineRule="auto"/>
        <w:ind w:firstLine="482" w:firstLineChars="200"/>
        <w:textAlignment w:val="baseline"/>
        <w:rPr>
          <w:rFonts w:hint="eastAsia" w:ascii="宋体" w:hAnsi="宋体" w:cs="宋体"/>
          <w:b/>
          <w:color w:val="auto"/>
          <w:kern w:val="0"/>
          <w:sz w:val="24"/>
          <w:szCs w:val="24"/>
          <w:highlight w:val="none"/>
        </w:rPr>
      </w:pPr>
      <w:r>
        <w:rPr>
          <w:rFonts w:hint="eastAsia" w:ascii="宋体" w:hAnsi="宋体" w:cs="宋体"/>
          <w:b/>
          <w:bCs/>
          <w:color w:val="auto"/>
          <w:kern w:val="0"/>
          <w:sz w:val="24"/>
          <w:szCs w:val="24"/>
          <w:highlight w:val="none"/>
          <w:u w:val="none"/>
          <w:lang w:val="en-US" w:eastAsia="zh-CN"/>
        </w:rPr>
        <w:t>5</w:t>
      </w:r>
      <w:r>
        <w:rPr>
          <w:rFonts w:hint="eastAsia" w:ascii="宋体" w:hAnsi="宋体" w:eastAsia="宋体" w:cs="宋体"/>
          <w:b/>
          <w:bCs/>
          <w:color w:val="auto"/>
          <w:kern w:val="0"/>
          <w:sz w:val="24"/>
          <w:szCs w:val="24"/>
          <w:highlight w:val="none"/>
          <w:u w:val="none"/>
          <w:lang w:val="en-US" w:eastAsia="zh-CN"/>
        </w:rPr>
        <w:t>、</w:t>
      </w:r>
      <w:r>
        <w:rPr>
          <w:rFonts w:hint="eastAsia" w:ascii="宋体" w:hAnsi="宋体" w:cs="宋体"/>
          <w:b/>
          <w:color w:val="auto"/>
          <w:kern w:val="0"/>
          <w:sz w:val="24"/>
          <w:szCs w:val="24"/>
          <w:highlight w:val="none"/>
        </w:rPr>
        <w:t>投标单位认为其他必要的材料。</w:t>
      </w:r>
    </w:p>
    <w:p w14:paraId="6434294A">
      <w:pPr>
        <w:adjustRightInd w:val="0"/>
        <w:snapToGrid w:val="0"/>
        <w:spacing w:line="360" w:lineRule="auto"/>
        <w:ind w:firstLine="482" w:firstLineChars="200"/>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注：以上材料如为复印件均需加盖投标单位公章。</w:t>
      </w:r>
    </w:p>
    <w:p w14:paraId="72DEFB1F">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二、技术响应文件（单独密封）：</w:t>
      </w:r>
    </w:p>
    <w:p w14:paraId="6443226B">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1、竞争性磋商响应函（格式参见第八章）；</w:t>
      </w:r>
    </w:p>
    <w:p w14:paraId="77F17F9A">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2、技术部分正负偏离表（格式参见第八章）；</w:t>
      </w:r>
    </w:p>
    <w:p w14:paraId="0675BF7F">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3、商务部分正负偏离表（格式参见第八章）；</w:t>
      </w:r>
    </w:p>
    <w:p w14:paraId="025216DA">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评标办法中所涉及的事项需提供的所有资料；</w:t>
      </w:r>
    </w:p>
    <w:p w14:paraId="0CA1D4CD">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、评标办法中未涉及的事项，投标供应商认为需要提交的其他资料。</w:t>
      </w:r>
    </w:p>
    <w:p w14:paraId="2281FD4E">
      <w:pPr>
        <w:adjustRightInd w:val="0"/>
        <w:snapToGri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注：为方便评委评审，请供应商按评标办法中所涉及的事项顺序进行编制，可以补充相关材料；</w:t>
      </w:r>
    </w:p>
    <w:p w14:paraId="09212414">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特别提醒：“资格审查文件”、“技术响应文件”所须提供的材料（须加盖投标供应商公章）按磋商文件要求装订，密封，递交。</w:t>
      </w:r>
    </w:p>
    <w:p w14:paraId="506F596C">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三、报价响应文件（单独密封）</w:t>
      </w:r>
    </w:p>
    <w:p w14:paraId="34CFF5A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1、磋商响应报价表（格式参见附件）；</w:t>
      </w:r>
    </w:p>
    <w:p w14:paraId="4FBA0FF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2、报价明细表</w:t>
      </w:r>
      <w:r>
        <w:rPr>
          <w:rFonts w:hint="eastAsia" w:ascii="宋体" w:hAnsi="宋体" w:cs="宋体"/>
          <w:i/>
          <w:iCs/>
          <w:color w:val="auto"/>
          <w:kern w:val="0"/>
          <w:sz w:val="24"/>
          <w:szCs w:val="24"/>
          <w:highlight w:val="none"/>
        </w:rPr>
        <w:t>（</w:t>
      </w:r>
      <w:r>
        <w:rPr>
          <w:rFonts w:hint="eastAsia" w:ascii="宋体" w:hAnsi="宋体" w:cs="宋体"/>
          <w:color w:val="auto"/>
          <w:kern w:val="0"/>
          <w:sz w:val="24"/>
          <w:szCs w:val="24"/>
          <w:highlight w:val="none"/>
        </w:rPr>
        <w:t>格式参见附件）；</w:t>
      </w:r>
    </w:p>
    <w:p w14:paraId="03E28E7E">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3、主要材料品牌一览表（格式参见第八章）；</w:t>
      </w:r>
    </w:p>
    <w:p w14:paraId="01F28074">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、供应商认为其它需要提交的材料；</w:t>
      </w:r>
    </w:p>
    <w:p w14:paraId="45AD6DD7">
      <w:pPr>
        <w:adjustRightInd w:val="0"/>
        <w:snapToGrid w:val="0"/>
        <w:spacing w:line="360" w:lineRule="auto"/>
        <w:jc w:val="left"/>
        <w:textAlignment w:val="baseline"/>
        <w:rPr>
          <w:rFonts w:ascii="宋体" w:hAnsi="宋体" w:cs="宋体"/>
          <w:b/>
          <w:color w:val="auto"/>
          <w:kern w:val="0"/>
          <w:sz w:val="24"/>
          <w:highlight w:val="none"/>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附件:</w:t>
      </w:r>
    </w:p>
    <w:p w14:paraId="4C35B7CD">
      <w:pPr>
        <w:adjustRightInd w:val="0"/>
        <w:snapToGrid w:val="0"/>
        <w:spacing w:line="360" w:lineRule="auto"/>
        <w:jc w:val="center"/>
        <w:textAlignment w:val="baseline"/>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1、法定代表人身份证明</w:t>
      </w:r>
    </w:p>
    <w:p w14:paraId="6C50AFD5">
      <w:pPr>
        <w:adjustRightInd w:val="0"/>
        <w:snapToGrid w:val="0"/>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（法定代表人参加投标，须出示此证明）</w:t>
      </w:r>
    </w:p>
    <w:p w14:paraId="31D40E15">
      <w:pPr>
        <w:adjustRightInd w:val="0"/>
        <w:snapToGrid w:val="0"/>
        <w:spacing w:line="360" w:lineRule="auto"/>
        <w:jc w:val="center"/>
        <w:textAlignment w:val="baseline"/>
        <w:rPr>
          <w:rFonts w:ascii="宋体" w:hAnsi="宋体" w:cs="宋体"/>
          <w:color w:val="auto"/>
          <w:kern w:val="0"/>
          <w:sz w:val="24"/>
          <w:szCs w:val="24"/>
          <w:highlight w:val="none"/>
        </w:rPr>
      </w:pPr>
    </w:p>
    <w:p w14:paraId="132A5B95">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江苏大晟文化产业发展有限公司</w:t>
      </w:r>
      <w:r>
        <w:rPr>
          <w:rFonts w:hint="eastAsia" w:ascii="宋体" w:hAnsi="宋体" w:cs="宋体"/>
          <w:color w:val="auto"/>
          <w:kern w:val="0"/>
          <w:sz w:val="24"/>
          <w:szCs w:val="24"/>
          <w:highlight w:val="none"/>
        </w:rPr>
        <w:t>：</w:t>
      </w:r>
    </w:p>
    <w:p w14:paraId="787B4C5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我公司法定代表人</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参加贵单位组织的</w:t>
      </w:r>
      <w:r>
        <w:rPr>
          <w:rFonts w:hint="eastAsia" w:ascii="宋体" w:hAnsi="宋体" w:cs="宋体"/>
          <w:color w:val="auto"/>
          <w:kern w:val="0"/>
          <w:sz w:val="24"/>
          <w:szCs w:val="24"/>
          <w:highlight w:val="none"/>
          <w:u w:val="single"/>
          <w:lang w:eastAsia="zh-CN"/>
        </w:rPr>
        <w:t>海安大生鑫天地LED屏幕采购及安装项目</w:t>
      </w:r>
      <w:r>
        <w:rPr>
          <w:rFonts w:hint="eastAsia" w:ascii="宋体" w:hAnsi="宋体" w:cs="宋体"/>
          <w:color w:val="auto"/>
          <w:kern w:val="0"/>
          <w:sz w:val="24"/>
          <w:szCs w:val="24"/>
          <w:highlight w:val="none"/>
        </w:rPr>
        <w:t>（竞争性磋商项目名称)项目的磋商活动，全权代表我公司处理该磋商活动的有关事宜。</w:t>
      </w:r>
    </w:p>
    <w:p w14:paraId="1DCD113A">
      <w:pPr>
        <w:adjustRightInd w:val="0"/>
        <w:snapToGrid w:val="0"/>
        <w:spacing w:line="360" w:lineRule="auto"/>
        <w:textAlignment w:val="baseline"/>
        <w:rPr>
          <w:rFonts w:ascii="宋体" w:hAnsi="宋体" w:cs="宋体"/>
          <w:color w:val="auto"/>
          <w:kern w:val="0"/>
          <w:sz w:val="24"/>
          <w:szCs w:val="24"/>
          <w:highlight w:val="none"/>
        </w:rPr>
      </w:pPr>
    </w:p>
    <w:p w14:paraId="1E92080C">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附：法定代表人情况：</w:t>
      </w:r>
    </w:p>
    <w:p w14:paraId="2728AA48">
      <w:pPr>
        <w:adjustRightInd w:val="0"/>
        <w:snapToGrid w:val="0"/>
        <w:spacing w:line="360" w:lineRule="auto"/>
        <w:textAlignment w:val="baseline"/>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姓名：性别：年龄：职务：</w:t>
      </w:r>
    </w:p>
    <w:p w14:paraId="6302526D">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身份证号码：</w:t>
      </w:r>
    </w:p>
    <w:p w14:paraId="6C7C9C3A">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手机：传真：</w:t>
      </w:r>
    </w:p>
    <w:p w14:paraId="4F2582FF">
      <w:pPr>
        <w:adjustRightInd w:val="0"/>
        <w:snapToGrid w:val="0"/>
        <w:spacing w:line="360" w:lineRule="auto"/>
        <w:textAlignment w:val="baseline"/>
        <w:rPr>
          <w:rFonts w:ascii="宋体" w:hAnsi="宋体" w:cs="宋体"/>
          <w:color w:val="auto"/>
          <w:kern w:val="0"/>
          <w:sz w:val="24"/>
          <w:szCs w:val="24"/>
          <w:highlight w:val="none"/>
        </w:rPr>
      </w:pPr>
    </w:p>
    <w:p w14:paraId="0133ECF4">
      <w:pPr>
        <w:adjustRightInd w:val="0"/>
        <w:snapToGrid w:val="0"/>
        <w:spacing w:line="360" w:lineRule="auto"/>
        <w:textAlignment w:val="baseline"/>
        <w:rPr>
          <w:rFonts w:ascii="宋体" w:hAnsi="宋体" w:cs="宋体"/>
          <w:color w:val="auto"/>
          <w:kern w:val="0"/>
          <w:sz w:val="24"/>
          <w:szCs w:val="24"/>
          <w:highlight w:val="none"/>
        </w:rPr>
      </w:pPr>
    </w:p>
    <w:p w14:paraId="53951CDC">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单位名称（公章）                           法定代表人（签字或盖章）</w:t>
      </w:r>
    </w:p>
    <w:p w14:paraId="51DA9AEF">
      <w:pPr>
        <w:adjustRightInd w:val="0"/>
        <w:snapToGrid w:val="0"/>
        <w:spacing w:line="360" w:lineRule="auto"/>
        <w:ind w:firstLine="1200" w:firstLineChars="5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年月日                              年月日</w:t>
      </w:r>
    </w:p>
    <w:p w14:paraId="17108EC2">
      <w:pPr>
        <w:adjustRightInd w:val="0"/>
        <w:snapToGrid w:val="0"/>
        <w:spacing w:line="360" w:lineRule="auto"/>
        <w:textAlignment w:val="baseline"/>
        <w:rPr>
          <w:rFonts w:ascii="宋体" w:hAnsi="宋体" w:cs="宋体"/>
          <w:color w:val="auto"/>
          <w:kern w:val="0"/>
          <w:sz w:val="24"/>
          <w:szCs w:val="24"/>
          <w:highlight w:val="none"/>
        </w:rPr>
      </w:pPr>
    </w:p>
    <w:p w14:paraId="2975A158">
      <w:pPr>
        <w:adjustRightInd w:val="0"/>
        <w:snapToGrid w:val="0"/>
        <w:spacing w:line="360" w:lineRule="auto"/>
        <w:jc w:val="center"/>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法定代表人身份证复印件</w:t>
      </w:r>
    </w:p>
    <w:p w14:paraId="30C80993">
      <w:pPr>
        <w:adjustRightInd w:val="0"/>
        <w:snapToGrid w:val="0"/>
        <w:spacing w:line="360" w:lineRule="auto"/>
        <w:textAlignment w:val="baseline"/>
        <w:rPr>
          <w:rFonts w:ascii="宋体" w:hAnsi="宋体" w:cs="宋体"/>
          <w:b/>
          <w:bCs/>
          <w:color w:val="auto"/>
          <w:kern w:val="0"/>
          <w:sz w:val="24"/>
          <w:szCs w:val="24"/>
          <w:highlight w:val="none"/>
        </w:rPr>
      </w:pPr>
    </w:p>
    <w:p w14:paraId="30D224C1">
      <w:pPr>
        <w:adjustRightInd w:val="0"/>
        <w:snapToGrid w:val="0"/>
        <w:spacing w:line="360" w:lineRule="auto"/>
        <w:jc w:val="center"/>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（粘贴此处）</w:t>
      </w:r>
    </w:p>
    <w:p w14:paraId="2B2FAC3E">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p>
    <w:p w14:paraId="69895A4C">
      <w:pPr>
        <w:adjustRightInd w:val="0"/>
        <w:snapToGrid w:val="0"/>
        <w:spacing w:line="360" w:lineRule="auto"/>
        <w:ind w:firstLine="482" w:firstLineChars="200"/>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注:参加磋商活动时法定代表人将身份证原件带至开标现场备查。</w:t>
      </w:r>
    </w:p>
    <w:p w14:paraId="5BF83ED6">
      <w:pPr>
        <w:widowControl/>
        <w:adjustRightInd w:val="0"/>
        <w:snapToGrid w:val="0"/>
        <w:spacing w:line="360" w:lineRule="auto"/>
        <w:jc w:val="left"/>
        <w:rPr>
          <w:rFonts w:ascii="宋体" w:hAnsi="宋体" w:cs="宋体"/>
          <w:b/>
          <w:bCs/>
          <w:color w:val="auto"/>
          <w:kern w:val="0"/>
          <w:sz w:val="24"/>
          <w:szCs w:val="24"/>
          <w:highlight w:val="none"/>
        </w:rPr>
      </w:pPr>
    </w:p>
    <w:p w14:paraId="01815D41">
      <w:pPr>
        <w:adjustRightInd w:val="0"/>
        <w:snapToGrid w:val="0"/>
        <w:spacing w:line="360" w:lineRule="auto"/>
        <w:jc w:val="center"/>
        <w:textAlignment w:val="baseline"/>
        <w:outlineLvl w:val="1"/>
        <w:rPr>
          <w:rFonts w:ascii="宋体" w:hAnsi="宋体" w:cs="宋体"/>
          <w:color w:val="auto"/>
          <w:kern w:val="0"/>
          <w:sz w:val="20"/>
          <w:highlight w:val="none"/>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2、授权委托书</w:t>
      </w:r>
    </w:p>
    <w:p w14:paraId="59F1584C">
      <w:pPr>
        <w:adjustRightInd w:val="0"/>
        <w:snapToGrid w:val="0"/>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（委托代理人参加投标，须出示此证明）</w:t>
      </w:r>
    </w:p>
    <w:p w14:paraId="5E5849DB">
      <w:pPr>
        <w:adjustRightInd w:val="0"/>
        <w:snapToGrid w:val="0"/>
        <w:spacing w:line="360" w:lineRule="auto"/>
        <w:textAlignment w:val="baseline"/>
        <w:rPr>
          <w:rFonts w:ascii="宋体" w:hAnsi="宋体" w:cs="宋体"/>
          <w:bCs/>
          <w:color w:val="auto"/>
          <w:kern w:val="0"/>
          <w:sz w:val="24"/>
          <w:szCs w:val="24"/>
          <w:highlight w:val="none"/>
        </w:rPr>
      </w:pPr>
      <w:r>
        <w:rPr>
          <w:rFonts w:hint="eastAsia" w:ascii="宋体" w:hAnsi="宋体" w:cs="宋体"/>
          <w:color w:val="auto"/>
          <w:kern w:val="0"/>
          <w:sz w:val="24"/>
          <w:szCs w:val="24"/>
          <w:highlight w:val="none"/>
          <w:u w:val="single"/>
          <w:lang w:eastAsia="zh-CN"/>
        </w:rPr>
        <w:t>江苏大晟文化产业发展有限公司</w:t>
      </w:r>
      <w:r>
        <w:rPr>
          <w:rFonts w:hint="eastAsia" w:ascii="宋体" w:hAnsi="宋体" w:cs="宋体"/>
          <w:color w:val="auto"/>
          <w:kern w:val="0"/>
          <w:sz w:val="24"/>
          <w:szCs w:val="24"/>
          <w:highlight w:val="none"/>
        </w:rPr>
        <w:t>：</w:t>
      </w:r>
    </w:p>
    <w:p w14:paraId="6B2DD53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兹授权</w:t>
      </w:r>
      <w:r>
        <w:rPr>
          <w:rFonts w:hint="eastAsia" w:ascii="宋体" w:hAnsi="宋体" w:cs="宋体"/>
          <w:color w:val="auto"/>
          <w:kern w:val="0"/>
          <w:sz w:val="24"/>
          <w:szCs w:val="24"/>
          <w:highlight w:val="none"/>
          <w:u w:val="single"/>
        </w:rPr>
        <w:t>（被授权人的姓名）</w:t>
      </w:r>
      <w:r>
        <w:rPr>
          <w:rFonts w:hint="eastAsia" w:ascii="宋体" w:hAnsi="宋体" w:cs="宋体"/>
          <w:color w:val="auto"/>
          <w:kern w:val="0"/>
          <w:sz w:val="24"/>
          <w:szCs w:val="24"/>
          <w:highlight w:val="none"/>
        </w:rPr>
        <w:t>代表我公司参加</w:t>
      </w:r>
      <w:r>
        <w:rPr>
          <w:rFonts w:hint="eastAsia" w:ascii="宋体" w:hAnsi="宋体" w:cs="宋体"/>
          <w:color w:val="auto"/>
          <w:kern w:val="0"/>
          <w:sz w:val="24"/>
          <w:szCs w:val="24"/>
          <w:highlight w:val="none"/>
          <w:u w:val="single"/>
          <w:lang w:eastAsia="zh-CN"/>
        </w:rPr>
        <w:t>海安大生鑫天地LED屏幕采购及安装项目</w:t>
      </w:r>
      <w:r>
        <w:rPr>
          <w:rFonts w:hint="eastAsia" w:ascii="宋体" w:hAnsi="宋体" w:cs="宋体"/>
          <w:color w:val="auto"/>
          <w:kern w:val="0"/>
          <w:sz w:val="24"/>
          <w:szCs w:val="24"/>
          <w:highlight w:val="none"/>
        </w:rPr>
        <w:t>（竞争性磋商项目名称）项目的磋商活动，全权处理一切与该项目磋商有关的事务。其在办理上述事宜过程中所签署的所有文件我公司均予以承认。</w:t>
      </w:r>
    </w:p>
    <w:p w14:paraId="040F8309">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被授权人无转委托权。特此委托。</w:t>
      </w:r>
    </w:p>
    <w:p w14:paraId="5353BA26">
      <w:pPr>
        <w:adjustRightInd w:val="0"/>
        <w:snapToGrid w:val="0"/>
        <w:spacing w:line="360" w:lineRule="auto"/>
        <w:ind w:firstLine="480" w:firstLineChars="200"/>
        <w:textAlignment w:val="baseline"/>
        <w:rPr>
          <w:rFonts w:ascii="宋体" w:hAnsi="宋体" w:cs="宋体"/>
          <w:color w:val="auto"/>
          <w:kern w:val="0"/>
          <w:sz w:val="24"/>
          <w:szCs w:val="24"/>
          <w:highlight w:val="none"/>
        </w:rPr>
      </w:pPr>
    </w:p>
    <w:p w14:paraId="4782BD6E">
      <w:pPr>
        <w:adjustRightInd w:val="0"/>
        <w:snapToGrid w:val="0"/>
        <w:spacing w:line="360" w:lineRule="auto"/>
        <w:textAlignment w:val="baseline"/>
        <w:rPr>
          <w:rFonts w:ascii="宋体" w:hAnsi="宋体" w:cs="宋体"/>
          <w:color w:val="auto"/>
          <w:kern w:val="0"/>
          <w:sz w:val="24"/>
          <w:szCs w:val="24"/>
          <w:highlight w:val="none"/>
        </w:rPr>
      </w:pPr>
    </w:p>
    <w:p w14:paraId="0E420519">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附：被授权人情况：</w:t>
      </w:r>
    </w:p>
    <w:p w14:paraId="1A373E24">
      <w:pPr>
        <w:adjustRightInd w:val="0"/>
        <w:snapToGrid w:val="0"/>
        <w:spacing w:line="360" w:lineRule="auto"/>
        <w:textAlignment w:val="baseline"/>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姓名：性别：年龄：职务：</w:t>
      </w:r>
    </w:p>
    <w:p w14:paraId="6B828D6D">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身份证号码：</w:t>
      </w:r>
    </w:p>
    <w:p w14:paraId="0F10407E">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手机：传真：</w:t>
      </w:r>
    </w:p>
    <w:p w14:paraId="45A54D10">
      <w:pPr>
        <w:adjustRightInd w:val="0"/>
        <w:snapToGrid w:val="0"/>
        <w:spacing w:line="360" w:lineRule="auto"/>
        <w:textAlignment w:val="baseline"/>
        <w:rPr>
          <w:rFonts w:ascii="宋体" w:hAnsi="宋体" w:cs="宋体"/>
          <w:color w:val="auto"/>
          <w:kern w:val="0"/>
          <w:sz w:val="24"/>
          <w:szCs w:val="24"/>
          <w:highlight w:val="none"/>
        </w:rPr>
      </w:pPr>
    </w:p>
    <w:p w14:paraId="249C2DB3">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单位名称（公章）                           法定代表人（签字或盖章）</w:t>
      </w:r>
    </w:p>
    <w:p w14:paraId="582C3B54">
      <w:pPr>
        <w:adjustRightInd w:val="0"/>
        <w:snapToGrid w:val="0"/>
        <w:spacing w:line="360" w:lineRule="auto"/>
        <w:ind w:firstLine="1200" w:firstLineChars="5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年月日                              年月日</w:t>
      </w:r>
    </w:p>
    <w:p w14:paraId="20A7293C">
      <w:pPr>
        <w:adjustRightInd w:val="0"/>
        <w:snapToGrid w:val="0"/>
        <w:spacing w:line="360" w:lineRule="auto"/>
        <w:textAlignment w:val="baseline"/>
        <w:rPr>
          <w:rFonts w:ascii="宋体" w:hAnsi="宋体" w:cs="宋体"/>
          <w:color w:val="auto"/>
          <w:kern w:val="0"/>
          <w:sz w:val="24"/>
          <w:szCs w:val="24"/>
          <w:highlight w:val="none"/>
        </w:rPr>
      </w:pPr>
    </w:p>
    <w:p w14:paraId="27409A03">
      <w:pPr>
        <w:adjustRightInd w:val="0"/>
        <w:snapToGrid w:val="0"/>
        <w:spacing w:line="360" w:lineRule="auto"/>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法定代表人身份证复印件</w:t>
      </w:r>
    </w:p>
    <w:p w14:paraId="59F07AE5">
      <w:pPr>
        <w:adjustRightInd w:val="0"/>
        <w:snapToGrid w:val="0"/>
        <w:spacing w:line="360" w:lineRule="auto"/>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（粘贴此处）</w:t>
      </w:r>
    </w:p>
    <w:p w14:paraId="23F01130">
      <w:pPr>
        <w:adjustRightInd w:val="0"/>
        <w:snapToGrid w:val="0"/>
        <w:spacing w:line="360" w:lineRule="auto"/>
        <w:textAlignment w:val="baseline"/>
        <w:rPr>
          <w:rFonts w:ascii="宋体" w:hAnsi="宋体" w:cs="宋体"/>
          <w:b/>
          <w:bCs/>
          <w:color w:val="auto"/>
          <w:kern w:val="0"/>
          <w:sz w:val="24"/>
          <w:szCs w:val="24"/>
          <w:highlight w:val="none"/>
        </w:rPr>
      </w:pPr>
    </w:p>
    <w:p w14:paraId="01E965C8">
      <w:pPr>
        <w:adjustRightInd w:val="0"/>
        <w:snapToGrid w:val="0"/>
        <w:spacing w:line="360" w:lineRule="auto"/>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被授权人身份证复印件</w:t>
      </w:r>
    </w:p>
    <w:p w14:paraId="0D14485F">
      <w:pPr>
        <w:adjustRightInd w:val="0"/>
        <w:snapToGrid w:val="0"/>
        <w:spacing w:line="360" w:lineRule="auto"/>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（粘贴此处）</w:t>
      </w:r>
    </w:p>
    <w:p w14:paraId="735422CB">
      <w:pPr>
        <w:adjustRightInd w:val="0"/>
        <w:snapToGrid w:val="0"/>
        <w:spacing w:line="360" w:lineRule="auto"/>
        <w:textAlignment w:val="baseline"/>
        <w:rPr>
          <w:rFonts w:ascii="宋体" w:hAnsi="宋体" w:cs="宋体"/>
          <w:b/>
          <w:bCs/>
          <w:color w:val="auto"/>
          <w:kern w:val="0"/>
          <w:sz w:val="24"/>
          <w:szCs w:val="24"/>
          <w:highlight w:val="none"/>
        </w:rPr>
      </w:pPr>
    </w:p>
    <w:p w14:paraId="6AC55966">
      <w:pPr>
        <w:adjustRightInd w:val="0"/>
        <w:snapToGrid w:val="0"/>
        <w:spacing w:line="360" w:lineRule="auto"/>
        <w:textAlignment w:val="baseline"/>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注:参加磋商活动时被授权人将身份证原件带至开标现场备查。</w:t>
      </w:r>
    </w:p>
    <w:p w14:paraId="5A227C3E">
      <w:pPr>
        <w:widowControl/>
        <w:adjustRightInd w:val="0"/>
        <w:snapToGrid w:val="0"/>
        <w:spacing w:line="360" w:lineRule="auto"/>
        <w:jc w:val="left"/>
        <w:rPr>
          <w:rFonts w:ascii="宋体" w:hAnsi="宋体" w:cs="宋体"/>
          <w:color w:val="auto"/>
          <w:kern w:val="0"/>
          <w:sz w:val="24"/>
          <w:szCs w:val="24"/>
          <w:highlight w:val="none"/>
        </w:rPr>
      </w:pPr>
    </w:p>
    <w:p w14:paraId="08F7C39A">
      <w:pPr>
        <w:widowControl/>
        <w:adjustRightInd w:val="0"/>
        <w:snapToGrid w:val="0"/>
        <w:spacing w:line="360" w:lineRule="auto"/>
        <w:jc w:val="left"/>
        <w:rPr>
          <w:rFonts w:ascii="宋体" w:hAnsi="宋体" w:cs="宋体"/>
          <w:b/>
          <w:color w:val="auto"/>
          <w:kern w:val="0"/>
          <w:sz w:val="24"/>
          <w:szCs w:val="24"/>
          <w:highlight w:val="none"/>
        </w:rPr>
      </w:pPr>
    </w:p>
    <w:p w14:paraId="724550C5">
      <w:pPr>
        <w:adjustRightInd w:val="0"/>
        <w:snapToGrid w:val="0"/>
        <w:spacing w:line="360" w:lineRule="auto"/>
        <w:jc w:val="center"/>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3、供应商符合规定条件的声明函</w:t>
      </w:r>
    </w:p>
    <w:p w14:paraId="5620B84B">
      <w:pPr>
        <w:adjustRightInd w:val="0"/>
        <w:snapToGrid w:val="0"/>
        <w:spacing w:line="360" w:lineRule="auto"/>
        <w:rPr>
          <w:rFonts w:ascii="宋体" w:hAnsi="宋体" w:cs="宋体"/>
          <w:bCs/>
          <w:color w:val="auto"/>
          <w:kern w:val="0"/>
          <w:sz w:val="24"/>
          <w:szCs w:val="21"/>
          <w:highlight w:val="none"/>
        </w:rPr>
      </w:pPr>
      <w:r>
        <w:rPr>
          <w:rFonts w:hint="eastAsia" w:ascii="宋体" w:hAnsi="宋体" w:cs="宋体"/>
          <w:color w:val="auto"/>
          <w:kern w:val="0"/>
          <w:sz w:val="24"/>
          <w:szCs w:val="24"/>
          <w:highlight w:val="none"/>
          <w:u w:val="single"/>
          <w:lang w:eastAsia="zh-CN"/>
        </w:rPr>
        <w:t>江苏大晟文化产业发展有限公司</w:t>
      </w:r>
      <w:r>
        <w:rPr>
          <w:rFonts w:hint="eastAsia" w:ascii="宋体" w:hAnsi="宋体" w:cs="宋体"/>
          <w:bCs/>
          <w:color w:val="auto"/>
          <w:kern w:val="0"/>
          <w:sz w:val="24"/>
          <w:szCs w:val="21"/>
          <w:highlight w:val="none"/>
        </w:rPr>
        <w:t>：</w:t>
      </w:r>
    </w:p>
    <w:p w14:paraId="4F494507">
      <w:pPr>
        <w:adjustRightInd w:val="0"/>
        <w:snapToGrid w:val="0"/>
        <w:spacing w:line="360" w:lineRule="auto"/>
        <w:ind w:firstLine="480" w:firstLineChars="200"/>
        <w:rPr>
          <w:rFonts w:ascii="宋体" w:hAnsi="宋体" w:cs="宋体"/>
          <w:b/>
          <w:bCs/>
          <w:color w:val="auto"/>
          <w:kern w:val="0"/>
          <w:sz w:val="24"/>
          <w:szCs w:val="21"/>
          <w:highlight w:val="none"/>
        </w:rPr>
      </w:pPr>
      <w:r>
        <w:rPr>
          <w:rFonts w:hint="eastAsia" w:ascii="宋体" w:hAnsi="宋体" w:cs="宋体"/>
          <w:bCs/>
          <w:color w:val="auto"/>
          <w:kern w:val="0"/>
          <w:sz w:val="24"/>
          <w:szCs w:val="21"/>
          <w:highlight w:val="none"/>
        </w:rPr>
        <w:t>我单位参加</w:t>
      </w:r>
      <w:r>
        <w:rPr>
          <w:rFonts w:hint="eastAsia" w:ascii="宋体" w:hAnsi="宋体" w:cs="宋体"/>
          <w:bCs/>
          <w:color w:val="auto"/>
          <w:kern w:val="0"/>
          <w:sz w:val="24"/>
          <w:szCs w:val="21"/>
          <w:highlight w:val="none"/>
          <w:u w:val="single"/>
        </w:rPr>
        <w:t>_________________</w:t>
      </w:r>
      <w:r>
        <w:rPr>
          <w:rFonts w:hint="eastAsia" w:ascii="宋体" w:hAnsi="宋体" w:cs="宋体"/>
          <w:bCs/>
          <w:color w:val="auto"/>
          <w:kern w:val="0"/>
          <w:sz w:val="24"/>
          <w:szCs w:val="21"/>
          <w:highlight w:val="none"/>
        </w:rPr>
        <w:t>（项目名称）竞争性磋商活动。针对</w:t>
      </w:r>
      <w:r>
        <w:rPr>
          <w:rFonts w:hint="eastAsia" w:ascii="宋体" w:hAnsi="宋体" w:cs="宋体"/>
          <w:bCs/>
          <w:color w:val="auto"/>
          <w:kern w:val="0"/>
          <w:sz w:val="24"/>
          <w:szCs w:val="21"/>
          <w:highlight w:val="none"/>
          <w:lang w:val="en-US" w:eastAsia="zh-CN"/>
        </w:rPr>
        <w:t>相关规定</w:t>
      </w:r>
      <w:r>
        <w:rPr>
          <w:rFonts w:hint="eastAsia" w:ascii="宋体" w:hAnsi="宋体" w:cs="宋体"/>
          <w:bCs/>
          <w:color w:val="auto"/>
          <w:kern w:val="0"/>
          <w:sz w:val="24"/>
          <w:szCs w:val="21"/>
          <w:highlight w:val="none"/>
        </w:rPr>
        <w:t>做出如下声明：</w:t>
      </w:r>
    </w:p>
    <w:p w14:paraId="4B9E4478">
      <w:pPr>
        <w:adjustRightInd w:val="0"/>
        <w:snapToGrid w:val="0"/>
        <w:spacing w:line="360" w:lineRule="auto"/>
        <w:ind w:firstLine="480" w:firstLineChars="200"/>
        <w:rPr>
          <w:rFonts w:ascii="宋体" w:hAnsi="宋体" w:cs="宋体"/>
          <w:color w:val="auto"/>
          <w:kern w:val="0"/>
          <w:sz w:val="24"/>
          <w:szCs w:val="21"/>
          <w:highlight w:val="none"/>
        </w:rPr>
      </w:pPr>
      <w:r>
        <w:rPr>
          <w:rFonts w:hint="eastAsia" w:ascii="宋体" w:hAnsi="宋体" w:cs="宋体"/>
          <w:bCs/>
          <w:color w:val="auto"/>
          <w:kern w:val="0"/>
          <w:sz w:val="24"/>
          <w:szCs w:val="21"/>
          <w:highlight w:val="none"/>
        </w:rPr>
        <w:t>1.我单位具有独立承担民事责任的能力；</w:t>
      </w:r>
    </w:p>
    <w:p w14:paraId="34E9AA83">
      <w:pPr>
        <w:adjustRightInd w:val="0"/>
        <w:snapToGri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2.我单位具有良好的商业信誉和健全的财务会计制度；</w:t>
      </w:r>
    </w:p>
    <w:p w14:paraId="49B2C991">
      <w:pPr>
        <w:adjustRightInd w:val="0"/>
        <w:snapToGri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3.我单位具有履行合同所必需的设备和专业技术能力；</w:t>
      </w:r>
    </w:p>
    <w:p w14:paraId="062E144A">
      <w:pPr>
        <w:adjustRightInd w:val="0"/>
        <w:snapToGri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4.我单位有依法缴纳税收和社会保障资金的良好记录；</w:t>
      </w:r>
    </w:p>
    <w:p w14:paraId="7B92604B">
      <w:pPr>
        <w:adjustRightInd w:val="0"/>
        <w:snapToGrid w:val="0"/>
        <w:spacing w:line="360" w:lineRule="auto"/>
        <w:ind w:firstLine="480" w:firstLineChars="200"/>
        <w:rPr>
          <w:rFonts w:hint="eastAsia" w:ascii="宋体" w:hAnsi="宋体" w:cs="宋体"/>
          <w:color w:val="auto"/>
          <w:kern w:val="0"/>
          <w:sz w:val="24"/>
          <w:szCs w:val="21"/>
          <w:highlight w:val="none"/>
        </w:rPr>
      </w:pPr>
      <w:r>
        <w:rPr>
          <w:rFonts w:hint="eastAsia" w:ascii="宋体" w:hAnsi="宋体" w:cs="宋体"/>
          <w:color w:val="auto"/>
          <w:kern w:val="0"/>
          <w:sz w:val="24"/>
          <w:szCs w:val="21"/>
          <w:highlight w:val="none"/>
        </w:rPr>
        <w:t>5.我单位参加采购活动前三年内，在经营活动中没有重大违法记录；</w:t>
      </w:r>
    </w:p>
    <w:p w14:paraId="291D95E4">
      <w:pPr>
        <w:adjustRightInd w:val="0"/>
        <w:snapToGrid w:val="0"/>
        <w:spacing w:line="360" w:lineRule="auto"/>
        <w:ind w:firstLine="480" w:firstLineChars="200"/>
        <w:rPr>
          <w:rFonts w:ascii="宋体" w:hAnsi="宋体" w:cs="宋体"/>
          <w:bCs/>
          <w:color w:val="auto"/>
          <w:kern w:val="0"/>
          <w:sz w:val="24"/>
          <w:szCs w:val="21"/>
          <w:highlight w:val="none"/>
        </w:rPr>
      </w:pPr>
      <w:r>
        <w:rPr>
          <w:rFonts w:hint="eastAsia" w:ascii="宋体" w:hAnsi="宋体" w:cs="宋体"/>
          <w:color w:val="auto"/>
          <w:kern w:val="0"/>
          <w:sz w:val="24"/>
          <w:szCs w:val="21"/>
          <w:highlight w:val="none"/>
        </w:rPr>
        <w:t>6.我单位满足法律、行政法规规定的其他条件。</w:t>
      </w:r>
    </w:p>
    <w:p w14:paraId="7BD021B9">
      <w:pPr>
        <w:adjustRightInd w:val="0"/>
        <w:snapToGrid w:val="0"/>
        <w:spacing w:line="360" w:lineRule="auto"/>
        <w:rPr>
          <w:rFonts w:ascii="宋体" w:hAnsi="宋体" w:cs="宋体"/>
          <w:color w:val="auto"/>
          <w:kern w:val="0"/>
          <w:sz w:val="28"/>
          <w:szCs w:val="20"/>
          <w:highlight w:val="none"/>
        </w:rPr>
      </w:pPr>
    </w:p>
    <w:p w14:paraId="042E5AF8">
      <w:pPr>
        <w:adjustRightInd w:val="0"/>
        <w:snapToGrid w:val="0"/>
        <w:spacing w:line="360" w:lineRule="auto"/>
        <w:ind w:firstLine="480" w:firstLineChars="200"/>
        <w:jc w:val="right"/>
        <w:rPr>
          <w:rFonts w:ascii="宋体" w:hAnsi="宋体" w:cs="宋体"/>
          <w:color w:val="auto"/>
          <w:kern w:val="0"/>
          <w:sz w:val="24"/>
          <w:szCs w:val="24"/>
          <w:highlight w:val="none"/>
        </w:rPr>
      </w:pPr>
    </w:p>
    <w:p w14:paraId="38423919">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供应商：（加盖公章）</w:t>
      </w:r>
    </w:p>
    <w:p w14:paraId="6C3094F4">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法定代表人或被授权人：（签字或盖章）</w:t>
      </w:r>
    </w:p>
    <w:p w14:paraId="28E1191C">
      <w:pPr>
        <w:adjustRightInd w:val="0"/>
        <w:snapToGrid w:val="0"/>
        <w:spacing w:line="360" w:lineRule="auto"/>
        <w:ind w:firstLine="1320" w:firstLineChars="55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111ED711">
      <w:pPr>
        <w:adjustRightInd w:val="0"/>
        <w:snapToGrid w:val="0"/>
        <w:spacing w:line="360" w:lineRule="auto"/>
        <w:textAlignment w:val="baseline"/>
        <w:rPr>
          <w:rFonts w:ascii="宋体" w:hAnsi="宋体" w:cs="宋体"/>
          <w:b/>
          <w:color w:val="auto"/>
          <w:kern w:val="0"/>
          <w:sz w:val="30"/>
          <w:szCs w:val="30"/>
          <w:highlight w:val="none"/>
        </w:rPr>
      </w:pPr>
    </w:p>
    <w:p w14:paraId="60425B32">
      <w:pPr>
        <w:widowControl/>
        <w:adjustRightInd w:val="0"/>
        <w:snapToGrid w:val="0"/>
        <w:spacing w:line="360" w:lineRule="auto"/>
        <w:jc w:val="center"/>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rPr>
        <w:t>4、诚信承诺书</w:t>
      </w:r>
    </w:p>
    <w:p w14:paraId="17797984">
      <w:pPr>
        <w:adjustRightInd w:val="0"/>
        <w:snapToGrid w:val="0"/>
        <w:spacing w:line="360" w:lineRule="auto"/>
        <w:rPr>
          <w:rFonts w:ascii="宋体" w:hAnsi="宋体" w:cs="宋体"/>
          <w:color w:val="auto"/>
          <w:kern w:val="0"/>
          <w:sz w:val="28"/>
          <w:szCs w:val="28"/>
          <w:highlight w:val="none"/>
          <w:u w:val="single"/>
        </w:rPr>
      </w:pPr>
      <w:r>
        <w:rPr>
          <w:rFonts w:hint="eastAsia" w:ascii="宋体" w:hAnsi="宋体" w:cs="宋体"/>
          <w:color w:val="auto"/>
          <w:kern w:val="0"/>
          <w:sz w:val="24"/>
          <w:szCs w:val="24"/>
          <w:highlight w:val="none"/>
          <w:u w:val="single"/>
          <w:lang w:eastAsia="zh-CN"/>
        </w:rPr>
        <w:t>江苏大晟文化产业发展有限公司</w:t>
      </w:r>
      <w:r>
        <w:rPr>
          <w:rFonts w:hint="eastAsia" w:ascii="宋体" w:hAnsi="宋体" w:cs="宋体"/>
          <w:color w:val="auto"/>
          <w:kern w:val="0"/>
          <w:sz w:val="24"/>
          <w:szCs w:val="24"/>
          <w:highlight w:val="none"/>
          <w:u w:val="single"/>
        </w:rPr>
        <w:t>：</w:t>
      </w:r>
    </w:p>
    <w:p w14:paraId="7ADDBA1B">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我单位在参加贵单位组织的</w:t>
      </w:r>
      <w:r>
        <w:rPr>
          <w:rFonts w:hint="eastAsia" w:ascii="宋体" w:hAnsi="宋体" w:cs="宋体"/>
          <w:color w:val="auto"/>
          <w:kern w:val="0"/>
          <w:sz w:val="24"/>
          <w:szCs w:val="24"/>
          <w:highlight w:val="none"/>
          <w:u w:val="single"/>
        </w:rPr>
        <w:t xml:space="preserve">             项目</w:t>
      </w:r>
      <w:r>
        <w:rPr>
          <w:rFonts w:hint="eastAsia" w:ascii="宋体" w:hAnsi="宋体" w:cs="宋体"/>
          <w:color w:val="auto"/>
          <w:kern w:val="0"/>
          <w:sz w:val="24"/>
          <w:szCs w:val="24"/>
          <w:highlight w:val="none"/>
        </w:rPr>
        <w:t>的</w:t>
      </w:r>
      <w:r>
        <w:rPr>
          <w:rFonts w:hint="eastAsia" w:ascii="宋体" w:hAnsi="宋体" w:cs="宋体"/>
          <w:bCs/>
          <w:color w:val="auto"/>
          <w:kern w:val="0"/>
          <w:sz w:val="24"/>
          <w:szCs w:val="21"/>
          <w:highlight w:val="none"/>
        </w:rPr>
        <w:t>竞争性磋商活动</w:t>
      </w:r>
      <w:r>
        <w:rPr>
          <w:rFonts w:hint="eastAsia" w:ascii="宋体" w:hAnsi="宋体" w:cs="宋体"/>
          <w:color w:val="auto"/>
          <w:kern w:val="0"/>
          <w:sz w:val="24"/>
          <w:szCs w:val="24"/>
          <w:highlight w:val="none"/>
        </w:rPr>
        <w:t>中，郑重承诺如下：</w:t>
      </w:r>
    </w:p>
    <w:p w14:paraId="3375F3BE">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1、我方申报的所有资料都是真实、准确、完整的；</w:t>
      </w:r>
    </w:p>
    <w:p w14:paraId="4ED1745B">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2、我方无资质挂靠或参与串标、围标、及抬标情形；</w:t>
      </w:r>
    </w:p>
    <w:p w14:paraId="7CBF9E14">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3、我方没有被各级行政主管部门做出停止市场行为的处罚；</w:t>
      </w:r>
    </w:p>
    <w:p w14:paraId="2B3E8322">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4、我单位未被“信用中国”等媒体列入失信被执行人、企业经营异常名录、政府采购严重违法失信名单、没有因违反招投标规定被行政处罚且在公示期内。</w:t>
      </w:r>
    </w:p>
    <w:p w14:paraId="53D2618E">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5、若我方中标，将严格按照规定及时与招标单位签订合同；</w:t>
      </w:r>
    </w:p>
    <w:p w14:paraId="0CDF346B">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6、若我方中标，将严格按照投标文件所承诺的报价、质量、供货期等内容组织实施；</w:t>
      </w:r>
    </w:p>
    <w:p w14:paraId="754C2C70">
      <w:pPr>
        <w:adjustRightInd w:val="0"/>
        <w:snapToGrid w:val="0"/>
        <w:spacing w:line="360" w:lineRule="auto"/>
        <w:ind w:firstLine="48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若我方违反上述承诺，隐瞒、提供虚假资料或不按投标文件要求组织实施，被贵方发现或被他人举报查实，无条件接受有关行政监督部门做出的取消投标资格、中标资格、不良行为记录、限制其一定期限内投标资格等处罚。对造成的损失，任何法律和经济责任完全由我方负责。</w:t>
      </w:r>
    </w:p>
    <w:p w14:paraId="7FA35122">
      <w:pPr>
        <w:adjustRightInd w:val="0"/>
        <w:snapToGrid w:val="0"/>
        <w:spacing w:line="360" w:lineRule="auto"/>
        <w:ind w:firstLine="560" w:firstLineChars="200"/>
        <w:rPr>
          <w:rFonts w:ascii="宋体" w:hAnsi="宋体" w:cs="宋体"/>
          <w:bCs/>
          <w:color w:val="auto"/>
          <w:kern w:val="0"/>
          <w:sz w:val="28"/>
          <w:szCs w:val="28"/>
          <w:highlight w:val="none"/>
        </w:rPr>
      </w:pPr>
    </w:p>
    <w:p w14:paraId="28A3DE65">
      <w:pPr>
        <w:adjustRightInd w:val="0"/>
        <w:snapToGrid w:val="0"/>
        <w:spacing w:line="360" w:lineRule="auto"/>
        <w:ind w:firstLine="480" w:firstLineChars="200"/>
        <w:jc w:val="right"/>
        <w:rPr>
          <w:rFonts w:ascii="宋体" w:hAnsi="宋体" w:cs="宋体"/>
          <w:color w:val="auto"/>
          <w:kern w:val="0"/>
          <w:sz w:val="24"/>
          <w:szCs w:val="24"/>
          <w:highlight w:val="none"/>
        </w:rPr>
      </w:pPr>
    </w:p>
    <w:p w14:paraId="647FB80F">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供应商：（加盖公章）</w:t>
      </w:r>
    </w:p>
    <w:p w14:paraId="19E443EE">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法定代表人或被授权人：（签字或盖章）</w:t>
      </w:r>
    </w:p>
    <w:p w14:paraId="7CC2681F">
      <w:pPr>
        <w:adjustRightInd w:val="0"/>
        <w:snapToGrid w:val="0"/>
        <w:spacing w:line="360" w:lineRule="auto"/>
        <w:ind w:firstLine="1320" w:firstLineChars="550"/>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      月     日</w:t>
      </w:r>
    </w:p>
    <w:p w14:paraId="6F12BD4C">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12E0AED1">
      <w:pPr>
        <w:widowControl/>
        <w:adjustRightInd w:val="0"/>
        <w:snapToGrid w:val="0"/>
        <w:spacing w:line="360" w:lineRule="auto"/>
        <w:jc w:val="center"/>
        <w:rPr>
          <w:rFonts w:ascii="宋体" w:hAnsi="宋体" w:cs="宋体"/>
          <w:color w:val="auto"/>
          <w:kern w:val="0"/>
          <w:sz w:val="24"/>
          <w:szCs w:val="24"/>
          <w:highlight w:val="none"/>
        </w:rPr>
        <w:sectPr>
          <w:footerReference r:id="rId4" w:type="first"/>
          <w:footerReference r:id="rId3" w:type="default"/>
          <w:pgSz w:w="11907" w:h="16840"/>
          <w:pgMar w:top="1417" w:right="1701" w:bottom="1587" w:left="1701" w:header="851" w:footer="851" w:gutter="0"/>
          <w:pgNumType w:start="1"/>
          <w:cols w:space="720" w:num="1"/>
          <w:titlePg/>
          <w:docGrid w:linePitch="312" w:charSpace="0"/>
        </w:sectPr>
      </w:pPr>
    </w:p>
    <w:p w14:paraId="40D2021F">
      <w:pPr>
        <w:adjustRightInd w:val="0"/>
        <w:snapToGrid w:val="0"/>
        <w:spacing w:line="360" w:lineRule="auto"/>
        <w:ind w:firstLine="480"/>
        <w:jc w:val="center"/>
        <w:textAlignment w:val="baseline"/>
        <w:outlineLvl w:val="1"/>
        <w:rPr>
          <w:rFonts w:ascii="宋体" w:hAnsi="宋体" w:cs="宋体"/>
          <w:b/>
          <w:bCs/>
          <w:color w:val="auto"/>
          <w:kern w:val="0"/>
          <w:sz w:val="24"/>
          <w:szCs w:val="24"/>
          <w:highlight w:val="none"/>
        </w:rPr>
      </w:pPr>
      <w:r>
        <w:rPr>
          <w:rFonts w:hint="eastAsia" w:ascii="宋体" w:hAnsi="宋体" w:cs="宋体"/>
          <w:b/>
          <w:color w:val="auto"/>
          <w:kern w:val="0"/>
          <w:sz w:val="24"/>
          <w:szCs w:val="24"/>
          <w:highlight w:val="none"/>
          <w:lang w:val="en-US" w:eastAsia="zh-CN"/>
        </w:rPr>
        <w:t>5</w:t>
      </w:r>
      <w:r>
        <w:rPr>
          <w:rFonts w:hint="eastAsia" w:ascii="宋体" w:hAnsi="宋体" w:cs="宋体"/>
          <w:b/>
          <w:color w:val="auto"/>
          <w:kern w:val="0"/>
          <w:sz w:val="24"/>
          <w:szCs w:val="24"/>
          <w:highlight w:val="none"/>
        </w:rPr>
        <w:t>、</w:t>
      </w:r>
      <w:r>
        <w:rPr>
          <w:rFonts w:hint="eastAsia" w:ascii="宋体" w:hAnsi="宋体" w:cs="宋体"/>
          <w:b/>
          <w:bCs/>
          <w:color w:val="auto"/>
          <w:kern w:val="0"/>
          <w:sz w:val="24"/>
          <w:szCs w:val="24"/>
          <w:highlight w:val="none"/>
        </w:rPr>
        <w:t>竞争性磋商响应函（格式不得变动）</w:t>
      </w:r>
    </w:p>
    <w:p w14:paraId="07625597">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江苏大晟文化产业发展有限公司</w:t>
      </w:r>
      <w:r>
        <w:rPr>
          <w:rFonts w:hint="eastAsia" w:ascii="宋体" w:hAnsi="宋体" w:cs="宋体"/>
          <w:color w:val="auto"/>
          <w:kern w:val="0"/>
          <w:sz w:val="24"/>
          <w:szCs w:val="24"/>
          <w:highlight w:val="none"/>
        </w:rPr>
        <w:t>：</w:t>
      </w:r>
    </w:p>
    <w:p w14:paraId="3653050A">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依据贵单位委托代理机构组织的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磋商项目名称）项目竞争性磋商的邀请，我方授权</w:t>
      </w:r>
      <w:r>
        <w:rPr>
          <w:rFonts w:hint="eastAsia" w:ascii="宋体" w:hAnsi="宋体" w:cs="宋体"/>
          <w:color w:val="auto"/>
          <w:kern w:val="0"/>
          <w:sz w:val="24"/>
          <w:szCs w:val="24"/>
          <w:highlight w:val="none"/>
          <w:u w:val="single"/>
        </w:rPr>
        <w:t xml:space="preserve">（姓名）   （职务）   </w:t>
      </w:r>
      <w:r>
        <w:rPr>
          <w:rFonts w:hint="eastAsia" w:ascii="宋体" w:hAnsi="宋体" w:cs="宋体"/>
          <w:color w:val="auto"/>
          <w:kern w:val="0"/>
          <w:sz w:val="24"/>
          <w:szCs w:val="24"/>
          <w:highlight w:val="none"/>
        </w:rPr>
        <w:t>为全权代表参加该项目的磋商工作，全权处理本次竞争性磋商的有关事宜。同时，我公司声明如下：</w:t>
      </w:r>
    </w:p>
    <w:p w14:paraId="7A92245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1、同意并接受竞争性磋商文件的各项要求，遵守竞争性磋商文件中的各项规定，按竞争性磋商文件的要求提供报价。</w:t>
      </w:r>
    </w:p>
    <w:p w14:paraId="6196F6CF">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0998BFB5">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3、我公司已毫无保留地向贵方提供一切所需的证明材料。</w:t>
      </w:r>
    </w:p>
    <w:p w14:paraId="6B4C05ED">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4、我公司承诺在本次磋商响应中提供的一切文件，无论是原件还是复印件均真实有效，绝无任何虚假、伪造和夸大的成份。否则，愿承担相应的后果和法律责任。</w:t>
      </w:r>
    </w:p>
    <w:p w14:paraId="488641E1">
      <w:pPr>
        <w:adjustRightInd w:val="0"/>
        <w:snapToGrid w:val="0"/>
        <w:spacing w:line="360" w:lineRule="auto"/>
        <w:ind w:firstLine="480" w:firstLineChars="200"/>
        <w:textAlignment w:val="baseline"/>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b/>
          <w:color w:val="auto"/>
          <w:kern w:val="0"/>
          <w:sz w:val="24"/>
          <w:szCs w:val="24"/>
          <w:highlight w:val="none"/>
        </w:rPr>
        <w:t>我公司尊重磋商小组所作的评定结果，同时清楚理解到报价最低并非意味着必定获得成交资格。</w:t>
      </w:r>
    </w:p>
    <w:p w14:paraId="2BD557F3">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6、一旦成交，我方承诺无正当理由拒绝签订合同，将被贵方取消成交资格，同意贵方将磋商保证金作为违约金全额不予退还的处理。</w:t>
      </w:r>
    </w:p>
    <w:p w14:paraId="4A2ECC31">
      <w:pPr>
        <w:adjustRightInd w:val="0"/>
        <w:snapToGrid w:val="0"/>
        <w:spacing w:line="360" w:lineRule="auto"/>
        <w:ind w:firstLine="480" w:firstLineChars="2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b/>
          <w:color w:val="auto"/>
          <w:kern w:val="0"/>
          <w:sz w:val="24"/>
          <w:szCs w:val="24"/>
          <w:highlight w:val="none"/>
        </w:rPr>
        <w:t>一旦成交，我方将根据竞争性磋商文件的规定，严格履行合同规定的责任和义务，并保证在竞争性磋商文件中规定的时间期限内完成合同项目。</w:t>
      </w:r>
    </w:p>
    <w:p w14:paraId="28A974F7">
      <w:pPr>
        <w:adjustRightInd w:val="0"/>
        <w:snapToGrid w:val="0"/>
        <w:spacing w:line="360" w:lineRule="auto"/>
        <w:ind w:firstLine="2760" w:firstLineChars="1150"/>
        <w:textAlignment w:val="baseline"/>
        <w:rPr>
          <w:rFonts w:ascii="宋体" w:hAnsi="宋体" w:cs="宋体"/>
          <w:color w:val="auto"/>
          <w:kern w:val="0"/>
          <w:sz w:val="24"/>
          <w:szCs w:val="24"/>
          <w:highlight w:val="none"/>
        </w:rPr>
      </w:pPr>
    </w:p>
    <w:p w14:paraId="51D76D8B">
      <w:pPr>
        <w:adjustRightInd w:val="0"/>
        <w:snapToGrid w:val="0"/>
        <w:spacing w:line="360" w:lineRule="auto"/>
        <w:ind w:firstLine="2760" w:firstLineChars="115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供应商名称：（加盖公章）</w:t>
      </w:r>
    </w:p>
    <w:p w14:paraId="5FFEC468">
      <w:pPr>
        <w:adjustRightInd w:val="0"/>
        <w:snapToGrid w:val="0"/>
        <w:spacing w:line="360" w:lineRule="auto"/>
        <w:jc w:val="center"/>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法定代表人或其授权委托人：</w:t>
      </w:r>
      <w:r>
        <w:rPr>
          <w:rFonts w:hint="eastAsia" w:ascii="宋体" w:hAnsi="宋体" w:cs="宋体"/>
          <w:bCs/>
          <w:color w:val="auto"/>
          <w:kern w:val="0"/>
          <w:sz w:val="24"/>
          <w:szCs w:val="24"/>
          <w:highlight w:val="none"/>
        </w:rPr>
        <w:t>（签字或盖章）</w:t>
      </w:r>
    </w:p>
    <w:p w14:paraId="30D0F6A3">
      <w:pPr>
        <w:adjustRightInd w:val="0"/>
        <w:snapToGrid w:val="0"/>
        <w:spacing w:line="360" w:lineRule="auto"/>
        <w:ind w:firstLine="6840" w:firstLineChars="285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年月日</w:t>
      </w:r>
    </w:p>
    <w:p w14:paraId="49F86F93">
      <w:pPr>
        <w:widowControl/>
        <w:adjustRightInd w:val="0"/>
        <w:snapToGrid w:val="0"/>
        <w:spacing w:line="360" w:lineRule="auto"/>
        <w:jc w:val="left"/>
        <w:rPr>
          <w:rFonts w:ascii="宋体" w:hAnsi="宋体" w:cs="宋体"/>
          <w:color w:val="auto"/>
          <w:kern w:val="0"/>
          <w:sz w:val="24"/>
          <w:szCs w:val="24"/>
          <w:highlight w:val="none"/>
        </w:rPr>
      </w:pPr>
    </w:p>
    <w:p w14:paraId="444A9421">
      <w:pPr>
        <w:widowControl/>
        <w:adjustRightInd w:val="0"/>
        <w:snapToGrid w:val="0"/>
        <w:spacing w:line="360" w:lineRule="auto"/>
        <w:jc w:val="center"/>
        <w:outlineLvl w:val="1"/>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lang w:val="en-US" w:eastAsia="zh-CN"/>
        </w:rPr>
        <w:t>6、技术部分正负偏离表</w:t>
      </w:r>
    </w:p>
    <w:p w14:paraId="6A61CB2E">
      <w:pPr>
        <w:pageBreakBefore w:val="0"/>
        <w:bidi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（由投标人据实填写，表格不够自行添加）</w:t>
      </w:r>
    </w:p>
    <w:tbl>
      <w:tblPr>
        <w:tblStyle w:val="47"/>
        <w:tblW w:w="4855" w:type="pct"/>
        <w:tblInd w:w="1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3"/>
        <w:gridCol w:w="2062"/>
        <w:gridCol w:w="1910"/>
        <w:gridCol w:w="2465"/>
        <w:gridCol w:w="1217"/>
      </w:tblGrid>
      <w:tr w14:paraId="696E1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80" w:type="pct"/>
            <w:tcBorders>
              <w:top w:val="single" w:color="auto" w:sz="12" w:space="0"/>
              <w:left w:val="single" w:color="auto" w:sz="12" w:space="0"/>
              <w:bottom w:val="single" w:color="auto" w:sz="6" w:space="0"/>
              <w:right w:val="single" w:color="auto" w:sz="6" w:space="0"/>
            </w:tcBorders>
            <w:noWrap w:val="0"/>
            <w:vAlign w:val="center"/>
          </w:tcPr>
          <w:p w14:paraId="7DA71212">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17" w:type="pct"/>
            <w:tcBorders>
              <w:top w:val="single" w:color="auto" w:sz="12" w:space="0"/>
              <w:left w:val="single" w:color="auto" w:sz="6" w:space="0"/>
              <w:bottom w:val="single" w:color="auto" w:sz="6" w:space="0"/>
              <w:right w:val="single" w:color="auto" w:sz="6" w:space="0"/>
            </w:tcBorders>
            <w:noWrap w:val="0"/>
            <w:vAlign w:val="center"/>
          </w:tcPr>
          <w:p w14:paraId="21CC0CDC">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货物或服务名称</w:t>
            </w:r>
          </w:p>
        </w:tc>
        <w:tc>
          <w:tcPr>
            <w:tcW w:w="1127" w:type="pct"/>
            <w:tcBorders>
              <w:top w:val="single" w:color="auto" w:sz="12" w:space="0"/>
              <w:left w:val="single" w:color="auto" w:sz="6" w:space="0"/>
              <w:bottom w:val="single" w:color="auto" w:sz="6" w:space="0"/>
              <w:right w:val="single" w:color="auto" w:sz="6" w:space="0"/>
            </w:tcBorders>
            <w:noWrap w:val="0"/>
            <w:vAlign w:val="center"/>
          </w:tcPr>
          <w:p w14:paraId="2167825E">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招标文件要求的技术要求</w:t>
            </w:r>
          </w:p>
        </w:tc>
        <w:tc>
          <w:tcPr>
            <w:tcW w:w="1455" w:type="pct"/>
            <w:tcBorders>
              <w:top w:val="single" w:color="auto" w:sz="12" w:space="0"/>
              <w:left w:val="single" w:color="auto" w:sz="6" w:space="0"/>
              <w:bottom w:val="single" w:color="auto" w:sz="6" w:space="0"/>
              <w:right w:val="single" w:color="auto" w:sz="6" w:space="0"/>
            </w:tcBorders>
            <w:noWrap w:val="0"/>
            <w:vAlign w:val="center"/>
          </w:tcPr>
          <w:p w14:paraId="009011FA">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投标文件响应情况</w:t>
            </w:r>
          </w:p>
        </w:tc>
        <w:tc>
          <w:tcPr>
            <w:tcW w:w="718" w:type="pct"/>
            <w:tcBorders>
              <w:top w:val="single" w:color="auto" w:sz="12" w:space="0"/>
              <w:left w:val="single" w:color="auto" w:sz="6" w:space="0"/>
              <w:bottom w:val="single" w:color="auto" w:sz="6" w:space="0"/>
              <w:right w:val="single" w:color="auto" w:sz="12" w:space="0"/>
            </w:tcBorders>
            <w:noWrap w:val="0"/>
            <w:vAlign w:val="top"/>
          </w:tcPr>
          <w:p w14:paraId="4383F741">
            <w:pPr>
              <w:pageBreakBefore w:val="0"/>
              <w:bidi w:val="0"/>
              <w:spacing w:line="360" w:lineRule="auto"/>
              <w:jc w:val="center"/>
              <w:rPr>
                <w:rFonts w:hint="eastAsia" w:ascii="宋体" w:hAnsi="宋体" w:cs="宋体"/>
                <w:color w:val="auto"/>
                <w:sz w:val="24"/>
                <w:highlight w:val="none"/>
              </w:rPr>
            </w:pPr>
          </w:p>
          <w:p w14:paraId="355326E6">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78D5C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80" w:type="pct"/>
            <w:tcBorders>
              <w:top w:val="single" w:color="auto" w:sz="6" w:space="0"/>
              <w:left w:val="single" w:color="auto" w:sz="12" w:space="0"/>
              <w:bottom w:val="single" w:color="auto" w:sz="6" w:space="0"/>
              <w:right w:val="single" w:color="auto" w:sz="6" w:space="0"/>
            </w:tcBorders>
            <w:noWrap w:val="0"/>
            <w:vAlign w:val="top"/>
          </w:tcPr>
          <w:p w14:paraId="28C730CE">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17" w:type="pct"/>
            <w:tcBorders>
              <w:top w:val="single" w:color="auto" w:sz="6" w:space="0"/>
              <w:left w:val="single" w:color="auto" w:sz="6" w:space="0"/>
              <w:bottom w:val="single" w:color="auto" w:sz="6" w:space="0"/>
              <w:right w:val="single" w:color="auto" w:sz="6" w:space="0"/>
            </w:tcBorders>
            <w:noWrap w:val="0"/>
            <w:vAlign w:val="center"/>
          </w:tcPr>
          <w:p w14:paraId="479D6E32">
            <w:pPr>
              <w:pageBreakBefore w:val="0"/>
              <w:bidi w:val="0"/>
              <w:spacing w:line="360" w:lineRule="auto"/>
              <w:jc w:val="left"/>
              <w:rPr>
                <w:rFonts w:hint="eastAsia" w:ascii="宋体" w:hAnsi="宋体" w:cs="宋体"/>
                <w:color w:val="auto"/>
                <w:sz w:val="24"/>
                <w:highlight w:val="none"/>
              </w:rPr>
            </w:pPr>
          </w:p>
        </w:tc>
        <w:tc>
          <w:tcPr>
            <w:tcW w:w="1127" w:type="pct"/>
            <w:tcBorders>
              <w:top w:val="single" w:color="auto" w:sz="6" w:space="0"/>
              <w:left w:val="single" w:color="auto" w:sz="6" w:space="0"/>
              <w:bottom w:val="single" w:color="auto" w:sz="6" w:space="0"/>
              <w:right w:val="single" w:color="auto" w:sz="6" w:space="0"/>
            </w:tcBorders>
            <w:noWrap w:val="0"/>
            <w:vAlign w:val="center"/>
          </w:tcPr>
          <w:p w14:paraId="4CC9CBD0">
            <w:pPr>
              <w:pageBreakBefore w:val="0"/>
              <w:bidi w:val="0"/>
              <w:spacing w:line="360" w:lineRule="auto"/>
              <w:jc w:val="left"/>
              <w:rPr>
                <w:rFonts w:hint="eastAsia" w:ascii="宋体" w:hAnsi="宋体" w:cs="宋体"/>
                <w:color w:val="auto"/>
                <w:sz w:val="24"/>
                <w:highlight w:val="none"/>
              </w:rPr>
            </w:pPr>
          </w:p>
        </w:tc>
        <w:tc>
          <w:tcPr>
            <w:tcW w:w="1455" w:type="pct"/>
            <w:tcBorders>
              <w:top w:val="single" w:color="auto" w:sz="6" w:space="0"/>
              <w:left w:val="single" w:color="auto" w:sz="6" w:space="0"/>
              <w:bottom w:val="single" w:color="auto" w:sz="6" w:space="0"/>
              <w:right w:val="single" w:color="auto" w:sz="6" w:space="0"/>
            </w:tcBorders>
            <w:noWrap w:val="0"/>
            <w:vAlign w:val="center"/>
          </w:tcPr>
          <w:p w14:paraId="055E78BF">
            <w:pPr>
              <w:pageBreakBefore w:val="0"/>
              <w:bidi w:val="0"/>
              <w:spacing w:line="360" w:lineRule="auto"/>
              <w:jc w:val="left"/>
              <w:rPr>
                <w:rFonts w:hint="eastAsia" w:ascii="宋体" w:hAnsi="宋体" w:cs="宋体"/>
                <w:color w:val="auto"/>
                <w:sz w:val="24"/>
                <w:highlight w:val="none"/>
              </w:rPr>
            </w:pPr>
          </w:p>
        </w:tc>
        <w:tc>
          <w:tcPr>
            <w:tcW w:w="718" w:type="pct"/>
            <w:tcBorders>
              <w:top w:val="single" w:color="auto" w:sz="6" w:space="0"/>
              <w:left w:val="single" w:color="auto" w:sz="6" w:space="0"/>
              <w:bottom w:val="single" w:color="auto" w:sz="6" w:space="0"/>
              <w:right w:val="single" w:color="auto" w:sz="12" w:space="0"/>
            </w:tcBorders>
            <w:noWrap w:val="0"/>
            <w:vAlign w:val="top"/>
          </w:tcPr>
          <w:p w14:paraId="20A66CE6">
            <w:pPr>
              <w:pageBreakBefore w:val="0"/>
              <w:bidi w:val="0"/>
              <w:spacing w:line="360" w:lineRule="auto"/>
              <w:jc w:val="left"/>
              <w:rPr>
                <w:rFonts w:hint="eastAsia" w:ascii="宋体" w:hAnsi="宋体" w:cs="宋体"/>
                <w:color w:val="auto"/>
                <w:sz w:val="24"/>
                <w:highlight w:val="none"/>
              </w:rPr>
            </w:pPr>
          </w:p>
        </w:tc>
      </w:tr>
      <w:tr w14:paraId="53547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80" w:type="pct"/>
            <w:tcBorders>
              <w:top w:val="single" w:color="auto" w:sz="6" w:space="0"/>
              <w:left w:val="single" w:color="auto" w:sz="12" w:space="0"/>
              <w:bottom w:val="single" w:color="auto" w:sz="6" w:space="0"/>
              <w:right w:val="single" w:color="auto" w:sz="6" w:space="0"/>
            </w:tcBorders>
            <w:noWrap w:val="0"/>
            <w:vAlign w:val="top"/>
          </w:tcPr>
          <w:p w14:paraId="166F9A25">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17" w:type="pct"/>
            <w:tcBorders>
              <w:top w:val="single" w:color="auto" w:sz="6" w:space="0"/>
              <w:left w:val="single" w:color="auto" w:sz="6" w:space="0"/>
              <w:bottom w:val="single" w:color="auto" w:sz="6" w:space="0"/>
              <w:right w:val="single" w:color="auto" w:sz="6" w:space="0"/>
            </w:tcBorders>
            <w:noWrap w:val="0"/>
            <w:vAlign w:val="center"/>
          </w:tcPr>
          <w:p w14:paraId="1A2056FC">
            <w:pPr>
              <w:pageBreakBefore w:val="0"/>
              <w:bidi w:val="0"/>
              <w:spacing w:line="360" w:lineRule="auto"/>
              <w:jc w:val="left"/>
              <w:rPr>
                <w:rFonts w:hint="eastAsia" w:ascii="宋体" w:hAnsi="宋体" w:cs="宋体"/>
                <w:color w:val="auto"/>
                <w:sz w:val="24"/>
                <w:highlight w:val="none"/>
              </w:rPr>
            </w:pPr>
          </w:p>
        </w:tc>
        <w:tc>
          <w:tcPr>
            <w:tcW w:w="1127" w:type="pct"/>
            <w:tcBorders>
              <w:top w:val="single" w:color="auto" w:sz="6" w:space="0"/>
              <w:left w:val="single" w:color="auto" w:sz="6" w:space="0"/>
              <w:bottom w:val="single" w:color="auto" w:sz="6" w:space="0"/>
              <w:right w:val="single" w:color="auto" w:sz="6" w:space="0"/>
            </w:tcBorders>
            <w:noWrap w:val="0"/>
            <w:vAlign w:val="center"/>
          </w:tcPr>
          <w:p w14:paraId="6090D4FC">
            <w:pPr>
              <w:pageBreakBefore w:val="0"/>
              <w:bidi w:val="0"/>
              <w:spacing w:line="360" w:lineRule="auto"/>
              <w:jc w:val="left"/>
              <w:rPr>
                <w:rFonts w:hint="eastAsia" w:ascii="宋体" w:hAnsi="宋体" w:cs="宋体"/>
                <w:color w:val="auto"/>
                <w:sz w:val="24"/>
                <w:highlight w:val="none"/>
              </w:rPr>
            </w:pPr>
          </w:p>
        </w:tc>
        <w:tc>
          <w:tcPr>
            <w:tcW w:w="1455" w:type="pct"/>
            <w:tcBorders>
              <w:top w:val="single" w:color="auto" w:sz="6" w:space="0"/>
              <w:left w:val="single" w:color="auto" w:sz="6" w:space="0"/>
              <w:bottom w:val="single" w:color="auto" w:sz="6" w:space="0"/>
              <w:right w:val="single" w:color="auto" w:sz="6" w:space="0"/>
            </w:tcBorders>
            <w:noWrap w:val="0"/>
            <w:vAlign w:val="center"/>
          </w:tcPr>
          <w:p w14:paraId="2F4E69E9">
            <w:pPr>
              <w:pageBreakBefore w:val="0"/>
              <w:bidi w:val="0"/>
              <w:spacing w:line="360" w:lineRule="auto"/>
              <w:jc w:val="left"/>
              <w:rPr>
                <w:rFonts w:hint="eastAsia" w:ascii="宋体" w:hAnsi="宋体" w:cs="宋体"/>
                <w:color w:val="auto"/>
                <w:sz w:val="24"/>
                <w:highlight w:val="none"/>
              </w:rPr>
            </w:pPr>
          </w:p>
        </w:tc>
        <w:tc>
          <w:tcPr>
            <w:tcW w:w="718" w:type="pct"/>
            <w:tcBorders>
              <w:top w:val="single" w:color="auto" w:sz="6" w:space="0"/>
              <w:left w:val="single" w:color="auto" w:sz="6" w:space="0"/>
              <w:bottom w:val="single" w:color="auto" w:sz="6" w:space="0"/>
              <w:right w:val="single" w:color="auto" w:sz="12" w:space="0"/>
            </w:tcBorders>
            <w:noWrap w:val="0"/>
            <w:vAlign w:val="top"/>
          </w:tcPr>
          <w:p w14:paraId="121A37D1">
            <w:pPr>
              <w:pageBreakBefore w:val="0"/>
              <w:bidi w:val="0"/>
              <w:spacing w:line="360" w:lineRule="auto"/>
              <w:jc w:val="left"/>
              <w:rPr>
                <w:rFonts w:hint="eastAsia" w:ascii="宋体" w:hAnsi="宋体" w:cs="宋体"/>
                <w:color w:val="auto"/>
                <w:sz w:val="24"/>
                <w:highlight w:val="none"/>
              </w:rPr>
            </w:pPr>
          </w:p>
        </w:tc>
      </w:tr>
      <w:tr w14:paraId="27A2D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80" w:type="pct"/>
            <w:tcBorders>
              <w:top w:val="single" w:color="auto" w:sz="6" w:space="0"/>
              <w:left w:val="single" w:color="auto" w:sz="12" w:space="0"/>
              <w:bottom w:val="single" w:color="auto" w:sz="6" w:space="0"/>
              <w:right w:val="single" w:color="auto" w:sz="6" w:space="0"/>
            </w:tcBorders>
            <w:noWrap w:val="0"/>
            <w:vAlign w:val="top"/>
          </w:tcPr>
          <w:p w14:paraId="46F879E0">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17" w:type="pct"/>
            <w:tcBorders>
              <w:top w:val="single" w:color="auto" w:sz="6" w:space="0"/>
              <w:left w:val="single" w:color="auto" w:sz="6" w:space="0"/>
              <w:bottom w:val="single" w:color="auto" w:sz="6" w:space="0"/>
              <w:right w:val="single" w:color="auto" w:sz="6" w:space="0"/>
            </w:tcBorders>
            <w:noWrap w:val="0"/>
            <w:vAlign w:val="center"/>
          </w:tcPr>
          <w:p w14:paraId="47824628">
            <w:pPr>
              <w:pageBreakBefore w:val="0"/>
              <w:bidi w:val="0"/>
              <w:spacing w:line="360" w:lineRule="auto"/>
              <w:jc w:val="left"/>
              <w:rPr>
                <w:rFonts w:hint="eastAsia" w:ascii="宋体" w:hAnsi="宋体" w:cs="宋体"/>
                <w:color w:val="auto"/>
                <w:sz w:val="24"/>
                <w:highlight w:val="none"/>
              </w:rPr>
            </w:pPr>
          </w:p>
        </w:tc>
        <w:tc>
          <w:tcPr>
            <w:tcW w:w="1127" w:type="pct"/>
            <w:tcBorders>
              <w:top w:val="single" w:color="auto" w:sz="6" w:space="0"/>
              <w:left w:val="single" w:color="auto" w:sz="6" w:space="0"/>
              <w:bottom w:val="single" w:color="auto" w:sz="6" w:space="0"/>
              <w:right w:val="single" w:color="auto" w:sz="6" w:space="0"/>
            </w:tcBorders>
            <w:noWrap w:val="0"/>
            <w:vAlign w:val="center"/>
          </w:tcPr>
          <w:p w14:paraId="5AE789E2">
            <w:pPr>
              <w:pageBreakBefore w:val="0"/>
              <w:bidi w:val="0"/>
              <w:spacing w:line="360" w:lineRule="auto"/>
              <w:jc w:val="left"/>
              <w:rPr>
                <w:rFonts w:hint="eastAsia" w:ascii="宋体" w:hAnsi="宋体" w:cs="宋体"/>
                <w:color w:val="auto"/>
                <w:sz w:val="24"/>
                <w:highlight w:val="none"/>
              </w:rPr>
            </w:pPr>
          </w:p>
        </w:tc>
        <w:tc>
          <w:tcPr>
            <w:tcW w:w="1455" w:type="pct"/>
            <w:tcBorders>
              <w:top w:val="single" w:color="auto" w:sz="6" w:space="0"/>
              <w:left w:val="single" w:color="auto" w:sz="6" w:space="0"/>
              <w:bottom w:val="single" w:color="auto" w:sz="6" w:space="0"/>
              <w:right w:val="single" w:color="auto" w:sz="6" w:space="0"/>
            </w:tcBorders>
            <w:noWrap w:val="0"/>
            <w:vAlign w:val="center"/>
          </w:tcPr>
          <w:p w14:paraId="75482B8C">
            <w:pPr>
              <w:pageBreakBefore w:val="0"/>
              <w:bidi w:val="0"/>
              <w:spacing w:line="360" w:lineRule="auto"/>
              <w:jc w:val="left"/>
              <w:rPr>
                <w:rFonts w:hint="eastAsia" w:ascii="宋体" w:hAnsi="宋体" w:cs="宋体"/>
                <w:color w:val="auto"/>
                <w:sz w:val="24"/>
                <w:highlight w:val="none"/>
              </w:rPr>
            </w:pPr>
          </w:p>
        </w:tc>
        <w:tc>
          <w:tcPr>
            <w:tcW w:w="718" w:type="pct"/>
            <w:tcBorders>
              <w:top w:val="single" w:color="auto" w:sz="6" w:space="0"/>
              <w:left w:val="single" w:color="auto" w:sz="6" w:space="0"/>
              <w:bottom w:val="single" w:color="auto" w:sz="6" w:space="0"/>
              <w:right w:val="single" w:color="auto" w:sz="12" w:space="0"/>
            </w:tcBorders>
            <w:noWrap w:val="0"/>
            <w:vAlign w:val="top"/>
          </w:tcPr>
          <w:p w14:paraId="0DCE3564">
            <w:pPr>
              <w:pageBreakBefore w:val="0"/>
              <w:bidi w:val="0"/>
              <w:spacing w:line="360" w:lineRule="auto"/>
              <w:jc w:val="left"/>
              <w:rPr>
                <w:rFonts w:hint="eastAsia" w:ascii="宋体" w:hAnsi="宋体" w:cs="宋体"/>
                <w:color w:val="auto"/>
                <w:sz w:val="24"/>
                <w:highlight w:val="none"/>
              </w:rPr>
            </w:pPr>
          </w:p>
        </w:tc>
      </w:tr>
      <w:tr w14:paraId="615E2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80" w:type="pct"/>
            <w:tcBorders>
              <w:top w:val="single" w:color="auto" w:sz="6" w:space="0"/>
              <w:left w:val="single" w:color="auto" w:sz="12" w:space="0"/>
              <w:bottom w:val="single" w:color="auto" w:sz="6" w:space="0"/>
              <w:right w:val="single" w:color="auto" w:sz="6" w:space="0"/>
            </w:tcBorders>
            <w:noWrap w:val="0"/>
            <w:vAlign w:val="top"/>
          </w:tcPr>
          <w:p w14:paraId="2CFF4D6F">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217" w:type="pct"/>
            <w:tcBorders>
              <w:top w:val="single" w:color="auto" w:sz="6" w:space="0"/>
              <w:left w:val="single" w:color="auto" w:sz="6" w:space="0"/>
              <w:bottom w:val="single" w:color="auto" w:sz="6" w:space="0"/>
              <w:right w:val="single" w:color="auto" w:sz="6" w:space="0"/>
            </w:tcBorders>
            <w:noWrap w:val="0"/>
            <w:vAlign w:val="center"/>
          </w:tcPr>
          <w:p w14:paraId="06C19559">
            <w:pPr>
              <w:pageBreakBefore w:val="0"/>
              <w:bidi w:val="0"/>
              <w:spacing w:line="360" w:lineRule="auto"/>
              <w:jc w:val="left"/>
              <w:rPr>
                <w:rFonts w:hint="eastAsia" w:ascii="宋体" w:hAnsi="宋体" w:cs="宋体"/>
                <w:color w:val="auto"/>
                <w:sz w:val="24"/>
                <w:highlight w:val="none"/>
              </w:rPr>
            </w:pPr>
          </w:p>
        </w:tc>
        <w:tc>
          <w:tcPr>
            <w:tcW w:w="1127" w:type="pct"/>
            <w:tcBorders>
              <w:top w:val="single" w:color="auto" w:sz="6" w:space="0"/>
              <w:left w:val="single" w:color="auto" w:sz="6" w:space="0"/>
              <w:bottom w:val="single" w:color="auto" w:sz="6" w:space="0"/>
              <w:right w:val="single" w:color="auto" w:sz="6" w:space="0"/>
            </w:tcBorders>
            <w:noWrap w:val="0"/>
            <w:vAlign w:val="center"/>
          </w:tcPr>
          <w:p w14:paraId="7E262250">
            <w:pPr>
              <w:pageBreakBefore w:val="0"/>
              <w:bidi w:val="0"/>
              <w:spacing w:line="360" w:lineRule="auto"/>
              <w:jc w:val="left"/>
              <w:rPr>
                <w:rFonts w:hint="eastAsia" w:ascii="宋体" w:hAnsi="宋体" w:cs="宋体"/>
                <w:color w:val="auto"/>
                <w:sz w:val="24"/>
                <w:highlight w:val="none"/>
              </w:rPr>
            </w:pPr>
          </w:p>
        </w:tc>
        <w:tc>
          <w:tcPr>
            <w:tcW w:w="1455" w:type="pct"/>
            <w:tcBorders>
              <w:top w:val="single" w:color="auto" w:sz="6" w:space="0"/>
              <w:left w:val="single" w:color="auto" w:sz="6" w:space="0"/>
              <w:bottom w:val="single" w:color="auto" w:sz="6" w:space="0"/>
              <w:right w:val="single" w:color="auto" w:sz="6" w:space="0"/>
            </w:tcBorders>
            <w:noWrap w:val="0"/>
            <w:vAlign w:val="center"/>
          </w:tcPr>
          <w:p w14:paraId="465B8241">
            <w:pPr>
              <w:pageBreakBefore w:val="0"/>
              <w:bidi w:val="0"/>
              <w:spacing w:line="360" w:lineRule="auto"/>
              <w:jc w:val="left"/>
              <w:rPr>
                <w:rFonts w:hint="eastAsia" w:ascii="宋体" w:hAnsi="宋体" w:cs="宋体"/>
                <w:color w:val="auto"/>
                <w:sz w:val="24"/>
                <w:highlight w:val="none"/>
              </w:rPr>
            </w:pPr>
          </w:p>
        </w:tc>
        <w:tc>
          <w:tcPr>
            <w:tcW w:w="718" w:type="pct"/>
            <w:tcBorders>
              <w:top w:val="single" w:color="auto" w:sz="6" w:space="0"/>
              <w:left w:val="single" w:color="auto" w:sz="6" w:space="0"/>
              <w:bottom w:val="single" w:color="auto" w:sz="6" w:space="0"/>
              <w:right w:val="single" w:color="auto" w:sz="12" w:space="0"/>
            </w:tcBorders>
            <w:noWrap w:val="0"/>
            <w:vAlign w:val="top"/>
          </w:tcPr>
          <w:p w14:paraId="1E910154">
            <w:pPr>
              <w:pageBreakBefore w:val="0"/>
              <w:bidi w:val="0"/>
              <w:spacing w:line="360" w:lineRule="auto"/>
              <w:jc w:val="left"/>
              <w:rPr>
                <w:rFonts w:hint="eastAsia" w:ascii="宋体" w:hAnsi="宋体" w:cs="宋体"/>
                <w:color w:val="auto"/>
                <w:sz w:val="24"/>
                <w:highlight w:val="none"/>
              </w:rPr>
            </w:pPr>
          </w:p>
        </w:tc>
      </w:tr>
    </w:tbl>
    <w:p w14:paraId="3E1EFCF3">
      <w:pPr>
        <w:pageBreakBefore w:val="0"/>
        <w:pBdr>
          <w:top w:val="none" w:color="000000" w:sz="0" w:space="0"/>
          <w:left w:val="none" w:color="000000" w:sz="0" w:space="0"/>
          <w:bottom w:val="none" w:color="000000" w:sz="0" w:space="0"/>
          <w:right w:val="none" w:color="000000" w:sz="0" w:space="0"/>
        </w:pBdr>
        <w:bidi w:val="0"/>
        <w:spacing w:before="0" w:after="0" w:line="360" w:lineRule="auto"/>
        <w:ind w:left="0" w:right="1560" w:firstLine="480"/>
        <w:jc w:val="both"/>
        <w:rPr>
          <w:color w:val="auto"/>
          <w:highlight w:val="none"/>
        </w:rPr>
      </w:pPr>
      <w:r>
        <w:rPr>
          <w:rFonts w:ascii="宋体" w:hAnsi="宋体" w:eastAsia="宋体" w:cs="宋体"/>
          <w:color w:val="auto"/>
          <w:sz w:val="24"/>
          <w:highlight w:val="none"/>
        </w:rPr>
        <w:t>供应商全称（盖章）：</w:t>
      </w:r>
    </w:p>
    <w:p w14:paraId="34B23E6A">
      <w:pPr>
        <w:pageBreakBefore w:val="0"/>
        <w:pBdr>
          <w:top w:val="none" w:color="000000" w:sz="0" w:space="0"/>
          <w:left w:val="none" w:color="000000" w:sz="0" w:space="0"/>
          <w:bottom w:val="none" w:color="000000" w:sz="0" w:space="0"/>
          <w:right w:val="none" w:color="000000" w:sz="0" w:space="0"/>
        </w:pBdr>
        <w:bidi w:val="0"/>
        <w:spacing w:before="0" w:after="0" w:line="360" w:lineRule="auto"/>
        <w:ind w:left="0" w:right="0" w:firstLine="0"/>
        <w:jc w:val="both"/>
        <w:rPr>
          <w:rFonts w:ascii="宋体" w:hAnsi="宋体" w:eastAsia="宋体" w:cs="宋体"/>
          <w:b/>
          <w:color w:val="auto"/>
          <w:sz w:val="24"/>
          <w:highlight w:val="none"/>
        </w:rPr>
      </w:pPr>
      <w:r>
        <w:rPr>
          <w:rFonts w:ascii="宋体" w:hAnsi="宋体" w:eastAsia="宋体" w:cs="宋体"/>
          <w:color w:val="auto"/>
          <w:sz w:val="24"/>
          <w:highlight w:val="none"/>
        </w:rPr>
        <w:t>  </w:t>
      </w:r>
      <w:r>
        <w:rPr>
          <w:rFonts w:hint="eastAsia" w:ascii="宋体" w:hAnsi="宋体" w:eastAsia="宋体" w:cs="宋体"/>
          <w:color w:val="auto"/>
          <w:sz w:val="24"/>
          <w:highlight w:val="none"/>
          <w:lang w:val="en-US" w:eastAsia="zh-CN"/>
        </w:rPr>
        <w:t>日</w:t>
      </w:r>
      <w:r>
        <w:rPr>
          <w:rFonts w:ascii="宋体" w:hAnsi="宋体" w:eastAsia="宋体" w:cs="宋体"/>
          <w:color w:val="auto"/>
          <w:sz w:val="24"/>
          <w:highlight w:val="none"/>
        </w:rPr>
        <w:t>期：</w:t>
      </w:r>
    </w:p>
    <w:p w14:paraId="2F574EF9">
      <w:pPr>
        <w:pageBreakBefore w:val="0"/>
        <w:bidi w:val="0"/>
        <w:snapToGrid w:val="0"/>
        <w:spacing w:line="360" w:lineRule="auto"/>
        <w:contextualSpacing/>
        <w:rPr>
          <w:rFonts w:hint="eastAsia" w:ascii="宋体" w:hAnsi="宋体" w:cs="宋体"/>
          <w:b/>
          <w:color w:val="auto"/>
          <w:sz w:val="24"/>
          <w:highlight w:val="none"/>
        </w:rPr>
      </w:pPr>
    </w:p>
    <w:p w14:paraId="5F5C8BA1">
      <w:pPr>
        <w:pageBreakBefore w:val="0"/>
        <w:bidi w:val="0"/>
        <w:snapToGrid w:val="0"/>
        <w:spacing w:line="360" w:lineRule="auto"/>
        <w:contextualSpacing/>
        <w:rPr>
          <w:rFonts w:hint="eastAsia" w:ascii="宋体" w:hAnsi="宋体" w:cs="宋体"/>
          <w:b/>
          <w:color w:val="auto"/>
          <w:sz w:val="24"/>
          <w:highlight w:val="none"/>
        </w:rPr>
      </w:pPr>
      <w:r>
        <w:rPr>
          <w:rFonts w:hint="eastAsia" w:ascii="宋体" w:hAnsi="宋体" w:cs="宋体"/>
          <w:b/>
          <w:color w:val="auto"/>
          <w:sz w:val="24"/>
          <w:highlight w:val="none"/>
        </w:rPr>
        <w:t>注：</w:t>
      </w:r>
    </w:p>
    <w:p w14:paraId="68658812">
      <w:pPr>
        <w:pageBreakBefore w:val="0"/>
        <w:bidi w:val="0"/>
        <w:snapToGrid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1.投标人提交的投标文件中与招标文件第</w:t>
      </w:r>
      <w:r>
        <w:rPr>
          <w:rFonts w:hint="eastAsia" w:ascii="宋体" w:hAnsi="宋体" w:cs="宋体"/>
          <w:color w:val="auto"/>
          <w:sz w:val="24"/>
          <w:highlight w:val="none"/>
          <w:lang w:eastAsia="zh-CN"/>
        </w:rPr>
        <w:t>三</w:t>
      </w:r>
      <w:r>
        <w:rPr>
          <w:rFonts w:hint="eastAsia" w:ascii="宋体" w:hAnsi="宋体" w:cs="宋体"/>
          <w:color w:val="auto"/>
          <w:sz w:val="24"/>
          <w:highlight w:val="none"/>
        </w:rPr>
        <w:t>部分“项目需求”中的技术部分的要求，应逐条填列在偏离表中。</w:t>
      </w:r>
    </w:p>
    <w:p w14:paraId="7F4AE72A">
      <w:pPr>
        <w:pageBreakBefore w:val="0"/>
        <w:bidi w:val="0"/>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cs="宋体"/>
          <w:color w:val="auto"/>
          <w:sz w:val="24"/>
          <w:highlight w:val="none"/>
        </w:rPr>
        <w:t>2.“偏离说明”一栏选择“正偏离”、“无偏离”、“负偏离”</w:t>
      </w:r>
      <w:r>
        <w:rPr>
          <w:rFonts w:hint="eastAsia" w:ascii="宋体" w:hAnsi="宋体" w:eastAsia="宋体" w:cs="宋体"/>
          <w:color w:val="auto"/>
          <w:sz w:val="24"/>
          <w:highlight w:val="none"/>
        </w:rPr>
        <w:t>进行填写。</w:t>
      </w:r>
      <w:r>
        <w:rPr>
          <w:rFonts w:hint="eastAsia" w:ascii="宋体" w:hAnsi="宋体" w:eastAsia="宋体" w:cs="宋体"/>
          <w:color w:val="auto"/>
          <w:sz w:val="24"/>
          <w:highlight w:val="none"/>
          <w:lang w:val="zh-CN"/>
        </w:rPr>
        <w:t>正偏离的确认和负偏离的是否响应招标文件，经三分之二评委认定。</w:t>
      </w:r>
    </w:p>
    <w:p w14:paraId="23D1B6BB">
      <w:pPr>
        <w:pageBreakBefore w:val="0"/>
        <w:bidi w:val="0"/>
        <w:snapToGrid w:val="0"/>
        <w:spacing w:line="360" w:lineRule="auto"/>
        <w:ind w:left="479" w:leftChars="228"/>
        <w:contextualSpacing/>
        <w:rPr>
          <w:rFonts w:hint="eastAsia" w:ascii="宋体" w:hAnsi="宋体" w:cs="宋体"/>
          <w:color w:val="auto"/>
          <w:sz w:val="24"/>
          <w:highlight w:val="none"/>
        </w:rPr>
      </w:pPr>
      <w:r>
        <w:rPr>
          <w:rFonts w:hint="eastAsia" w:ascii="宋体" w:hAnsi="宋体" w:cs="宋体"/>
          <w:color w:val="auto"/>
          <w:sz w:val="24"/>
          <w:highlight w:val="none"/>
        </w:rPr>
        <w:t>3.投标人如果虚假响应，将取消其投标或中标资格，并按有关规定进行处罚。</w:t>
      </w:r>
    </w:p>
    <w:p w14:paraId="24CF9C11">
      <w:pPr>
        <w:pageBreakBefore w:val="0"/>
        <w:bidi w:val="0"/>
        <w:snapToGrid w:val="0"/>
        <w:spacing w:line="360" w:lineRule="auto"/>
        <w:ind w:left="479" w:leftChars="228"/>
        <w:contextualSpacing/>
        <w:rPr>
          <w:rFonts w:hint="eastAsia" w:ascii="宋体" w:hAnsi="宋体" w:cs="宋体"/>
          <w:bCs/>
          <w:color w:val="auto"/>
          <w:sz w:val="24"/>
          <w:highlight w:val="none"/>
        </w:rPr>
      </w:pPr>
      <w:r>
        <w:rPr>
          <w:rFonts w:hint="eastAsia" w:ascii="宋体" w:hAnsi="宋体" w:cs="宋体"/>
          <w:color w:val="auto"/>
          <w:sz w:val="24"/>
          <w:highlight w:val="none"/>
        </w:rPr>
        <w:t>4.供应商若提供其他增值服务，可以在表中自行据实填写。</w:t>
      </w:r>
    </w:p>
    <w:p w14:paraId="1CFF032C">
      <w:pPr>
        <w:widowControl/>
        <w:adjustRightInd w:val="0"/>
        <w:snapToGrid w:val="0"/>
        <w:spacing w:line="360" w:lineRule="auto"/>
        <w:jc w:val="center"/>
        <w:outlineLvl w:val="1"/>
        <w:rPr>
          <w:rFonts w:hint="eastAsia" w:ascii="宋体" w:hAnsi="宋体" w:cs="宋体"/>
          <w:b/>
          <w:color w:val="auto"/>
          <w:kern w:val="0"/>
          <w:sz w:val="24"/>
          <w:szCs w:val="24"/>
          <w:highlight w:val="none"/>
          <w:lang w:val="en-US" w:eastAsia="zh-CN"/>
        </w:rPr>
      </w:pPr>
      <w:r>
        <w:rPr>
          <w:color w:val="auto"/>
          <w:highlight w:val="none"/>
          <w:lang w:val="en-US"/>
        </w:rPr>
        <w:br w:type="page"/>
      </w:r>
      <w:r>
        <w:rPr>
          <w:rFonts w:hint="eastAsia" w:ascii="宋体" w:hAnsi="宋体" w:cs="宋体"/>
          <w:b/>
          <w:color w:val="auto"/>
          <w:kern w:val="0"/>
          <w:sz w:val="24"/>
          <w:szCs w:val="24"/>
          <w:highlight w:val="none"/>
          <w:lang w:val="en-US" w:eastAsia="zh-CN"/>
        </w:rPr>
        <w:t>7、商务部分正负偏离表</w:t>
      </w:r>
    </w:p>
    <w:p w14:paraId="07B261DB">
      <w:pPr>
        <w:pageBreakBefore w:val="0"/>
        <w:bidi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（由投标人据实填写，表格不够自行添加）</w:t>
      </w:r>
    </w:p>
    <w:tbl>
      <w:tblPr>
        <w:tblStyle w:val="47"/>
        <w:tblW w:w="4927" w:type="pct"/>
        <w:tblInd w:w="14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0"/>
        <w:gridCol w:w="2062"/>
        <w:gridCol w:w="1911"/>
        <w:gridCol w:w="2465"/>
        <w:gridCol w:w="1355"/>
      </w:tblGrid>
      <w:tr w14:paraId="7009D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5" w:type="pct"/>
            <w:tcBorders>
              <w:top w:val="single" w:color="auto" w:sz="12" w:space="0"/>
              <w:left w:val="single" w:color="auto" w:sz="12" w:space="0"/>
              <w:bottom w:val="single" w:color="auto" w:sz="6" w:space="0"/>
              <w:right w:val="single" w:color="auto" w:sz="6" w:space="0"/>
            </w:tcBorders>
            <w:noWrap w:val="0"/>
            <w:vAlign w:val="center"/>
          </w:tcPr>
          <w:p w14:paraId="5E0A9F53">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99" w:type="pct"/>
            <w:tcBorders>
              <w:top w:val="single" w:color="auto" w:sz="12" w:space="0"/>
              <w:left w:val="single" w:color="auto" w:sz="6" w:space="0"/>
              <w:bottom w:val="single" w:color="auto" w:sz="6" w:space="0"/>
              <w:right w:val="single" w:color="auto" w:sz="6" w:space="0"/>
            </w:tcBorders>
            <w:noWrap w:val="0"/>
            <w:vAlign w:val="center"/>
          </w:tcPr>
          <w:p w14:paraId="42C21A36">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货物或服务名称</w:t>
            </w:r>
          </w:p>
        </w:tc>
        <w:tc>
          <w:tcPr>
            <w:tcW w:w="1111" w:type="pct"/>
            <w:tcBorders>
              <w:top w:val="single" w:color="auto" w:sz="12" w:space="0"/>
              <w:left w:val="single" w:color="auto" w:sz="6" w:space="0"/>
              <w:bottom w:val="single" w:color="auto" w:sz="6" w:space="0"/>
              <w:right w:val="single" w:color="auto" w:sz="6" w:space="0"/>
            </w:tcBorders>
            <w:noWrap w:val="0"/>
            <w:vAlign w:val="center"/>
          </w:tcPr>
          <w:p w14:paraId="4D327DB5">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招标文件要求的商务条款</w:t>
            </w:r>
          </w:p>
        </w:tc>
        <w:tc>
          <w:tcPr>
            <w:tcW w:w="1433" w:type="pct"/>
            <w:tcBorders>
              <w:top w:val="single" w:color="auto" w:sz="12" w:space="0"/>
              <w:left w:val="single" w:color="auto" w:sz="6" w:space="0"/>
              <w:bottom w:val="single" w:color="auto" w:sz="6" w:space="0"/>
              <w:right w:val="single" w:color="auto" w:sz="6" w:space="0"/>
            </w:tcBorders>
            <w:noWrap w:val="0"/>
            <w:vAlign w:val="center"/>
          </w:tcPr>
          <w:p w14:paraId="329AC2C4">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投标文件响应情况</w:t>
            </w:r>
          </w:p>
        </w:tc>
        <w:tc>
          <w:tcPr>
            <w:tcW w:w="788" w:type="pct"/>
            <w:tcBorders>
              <w:top w:val="single" w:color="auto" w:sz="12" w:space="0"/>
              <w:left w:val="single" w:color="auto" w:sz="6" w:space="0"/>
              <w:bottom w:val="single" w:color="auto" w:sz="6" w:space="0"/>
              <w:right w:val="single" w:color="auto" w:sz="12" w:space="0"/>
            </w:tcBorders>
            <w:noWrap w:val="0"/>
            <w:vAlign w:val="top"/>
          </w:tcPr>
          <w:p w14:paraId="3A6E96FF">
            <w:pPr>
              <w:pageBreakBefore w:val="0"/>
              <w:bidi w:val="0"/>
              <w:spacing w:line="360" w:lineRule="auto"/>
              <w:jc w:val="center"/>
              <w:rPr>
                <w:rFonts w:hint="eastAsia" w:ascii="宋体" w:hAnsi="宋体" w:cs="宋体"/>
                <w:color w:val="auto"/>
                <w:sz w:val="24"/>
                <w:highlight w:val="none"/>
              </w:rPr>
            </w:pPr>
          </w:p>
          <w:p w14:paraId="386966C3">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099CD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5" w:type="pct"/>
            <w:tcBorders>
              <w:top w:val="single" w:color="auto" w:sz="6" w:space="0"/>
              <w:left w:val="single" w:color="auto" w:sz="12" w:space="0"/>
              <w:bottom w:val="single" w:color="auto" w:sz="6" w:space="0"/>
              <w:right w:val="single" w:color="auto" w:sz="6" w:space="0"/>
            </w:tcBorders>
            <w:noWrap w:val="0"/>
            <w:vAlign w:val="top"/>
          </w:tcPr>
          <w:p w14:paraId="692DB144">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99" w:type="pct"/>
            <w:tcBorders>
              <w:top w:val="single" w:color="auto" w:sz="6" w:space="0"/>
              <w:left w:val="single" w:color="auto" w:sz="6" w:space="0"/>
              <w:bottom w:val="single" w:color="auto" w:sz="6" w:space="0"/>
              <w:right w:val="single" w:color="auto" w:sz="6" w:space="0"/>
            </w:tcBorders>
            <w:noWrap w:val="0"/>
            <w:vAlign w:val="center"/>
          </w:tcPr>
          <w:p w14:paraId="737CD83B">
            <w:pPr>
              <w:pageBreakBefore w:val="0"/>
              <w:bidi w:val="0"/>
              <w:spacing w:line="360" w:lineRule="auto"/>
              <w:jc w:val="left"/>
              <w:rPr>
                <w:rFonts w:hint="eastAsia" w:ascii="宋体" w:hAnsi="宋体" w:cs="宋体"/>
                <w:color w:val="auto"/>
                <w:sz w:val="24"/>
                <w:highlight w:val="none"/>
              </w:rPr>
            </w:pPr>
          </w:p>
        </w:tc>
        <w:tc>
          <w:tcPr>
            <w:tcW w:w="1111" w:type="pct"/>
            <w:tcBorders>
              <w:top w:val="single" w:color="auto" w:sz="6" w:space="0"/>
              <w:left w:val="single" w:color="auto" w:sz="6" w:space="0"/>
              <w:bottom w:val="single" w:color="auto" w:sz="6" w:space="0"/>
              <w:right w:val="single" w:color="auto" w:sz="6" w:space="0"/>
            </w:tcBorders>
            <w:noWrap w:val="0"/>
            <w:vAlign w:val="center"/>
          </w:tcPr>
          <w:p w14:paraId="19329776">
            <w:pPr>
              <w:pageBreakBefore w:val="0"/>
              <w:bidi w:val="0"/>
              <w:spacing w:line="360" w:lineRule="auto"/>
              <w:jc w:val="left"/>
              <w:rPr>
                <w:rFonts w:hint="eastAsia" w:ascii="宋体" w:hAnsi="宋体" w:cs="宋体"/>
                <w:color w:val="auto"/>
                <w:sz w:val="24"/>
                <w:highlight w:val="none"/>
              </w:rPr>
            </w:pPr>
          </w:p>
        </w:tc>
        <w:tc>
          <w:tcPr>
            <w:tcW w:w="1433" w:type="pct"/>
            <w:tcBorders>
              <w:top w:val="single" w:color="auto" w:sz="6" w:space="0"/>
              <w:left w:val="single" w:color="auto" w:sz="6" w:space="0"/>
              <w:bottom w:val="single" w:color="auto" w:sz="6" w:space="0"/>
              <w:right w:val="single" w:color="auto" w:sz="6" w:space="0"/>
            </w:tcBorders>
            <w:noWrap w:val="0"/>
            <w:vAlign w:val="center"/>
          </w:tcPr>
          <w:p w14:paraId="2FE38E6A">
            <w:pPr>
              <w:pageBreakBefore w:val="0"/>
              <w:bidi w:val="0"/>
              <w:spacing w:line="360" w:lineRule="auto"/>
              <w:jc w:val="left"/>
              <w:rPr>
                <w:rFonts w:hint="eastAsia" w:ascii="宋体" w:hAnsi="宋体" w:cs="宋体"/>
                <w:color w:val="auto"/>
                <w:sz w:val="24"/>
                <w:highlight w:val="none"/>
              </w:rPr>
            </w:pPr>
          </w:p>
        </w:tc>
        <w:tc>
          <w:tcPr>
            <w:tcW w:w="788" w:type="pct"/>
            <w:tcBorders>
              <w:top w:val="single" w:color="auto" w:sz="6" w:space="0"/>
              <w:left w:val="single" w:color="auto" w:sz="6" w:space="0"/>
              <w:bottom w:val="single" w:color="auto" w:sz="6" w:space="0"/>
              <w:right w:val="single" w:color="auto" w:sz="12" w:space="0"/>
            </w:tcBorders>
            <w:noWrap w:val="0"/>
            <w:vAlign w:val="top"/>
          </w:tcPr>
          <w:p w14:paraId="2C067391">
            <w:pPr>
              <w:pageBreakBefore w:val="0"/>
              <w:bidi w:val="0"/>
              <w:spacing w:line="360" w:lineRule="auto"/>
              <w:jc w:val="left"/>
              <w:rPr>
                <w:rFonts w:hint="eastAsia" w:ascii="宋体" w:hAnsi="宋体" w:cs="宋体"/>
                <w:color w:val="auto"/>
                <w:sz w:val="24"/>
                <w:highlight w:val="none"/>
              </w:rPr>
            </w:pPr>
          </w:p>
        </w:tc>
      </w:tr>
      <w:tr w14:paraId="220A2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5" w:type="pct"/>
            <w:tcBorders>
              <w:top w:val="single" w:color="auto" w:sz="6" w:space="0"/>
              <w:left w:val="single" w:color="auto" w:sz="12" w:space="0"/>
              <w:bottom w:val="single" w:color="auto" w:sz="6" w:space="0"/>
              <w:right w:val="single" w:color="auto" w:sz="6" w:space="0"/>
            </w:tcBorders>
            <w:noWrap w:val="0"/>
            <w:vAlign w:val="top"/>
          </w:tcPr>
          <w:p w14:paraId="136E59DB">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99" w:type="pct"/>
            <w:tcBorders>
              <w:top w:val="single" w:color="auto" w:sz="6" w:space="0"/>
              <w:left w:val="single" w:color="auto" w:sz="6" w:space="0"/>
              <w:bottom w:val="single" w:color="auto" w:sz="6" w:space="0"/>
              <w:right w:val="single" w:color="auto" w:sz="6" w:space="0"/>
            </w:tcBorders>
            <w:noWrap w:val="0"/>
            <w:vAlign w:val="center"/>
          </w:tcPr>
          <w:p w14:paraId="1A6337F2">
            <w:pPr>
              <w:pageBreakBefore w:val="0"/>
              <w:bidi w:val="0"/>
              <w:spacing w:line="360" w:lineRule="auto"/>
              <w:jc w:val="left"/>
              <w:rPr>
                <w:rFonts w:hint="eastAsia" w:ascii="宋体" w:hAnsi="宋体" w:cs="宋体"/>
                <w:color w:val="auto"/>
                <w:sz w:val="24"/>
                <w:highlight w:val="none"/>
              </w:rPr>
            </w:pPr>
          </w:p>
        </w:tc>
        <w:tc>
          <w:tcPr>
            <w:tcW w:w="1111" w:type="pct"/>
            <w:tcBorders>
              <w:top w:val="single" w:color="auto" w:sz="6" w:space="0"/>
              <w:left w:val="single" w:color="auto" w:sz="6" w:space="0"/>
              <w:bottom w:val="single" w:color="auto" w:sz="6" w:space="0"/>
              <w:right w:val="single" w:color="auto" w:sz="6" w:space="0"/>
            </w:tcBorders>
            <w:noWrap w:val="0"/>
            <w:vAlign w:val="center"/>
          </w:tcPr>
          <w:p w14:paraId="547C215D">
            <w:pPr>
              <w:pageBreakBefore w:val="0"/>
              <w:bidi w:val="0"/>
              <w:spacing w:line="360" w:lineRule="auto"/>
              <w:jc w:val="left"/>
              <w:rPr>
                <w:rFonts w:hint="eastAsia" w:ascii="宋体" w:hAnsi="宋体" w:cs="宋体"/>
                <w:color w:val="auto"/>
                <w:sz w:val="24"/>
                <w:highlight w:val="none"/>
              </w:rPr>
            </w:pPr>
          </w:p>
        </w:tc>
        <w:tc>
          <w:tcPr>
            <w:tcW w:w="1433" w:type="pct"/>
            <w:tcBorders>
              <w:top w:val="single" w:color="auto" w:sz="6" w:space="0"/>
              <w:left w:val="single" w:color="auto" w:sz="6" w:space="0"/>
              <w:bottom w:val="single" w:color="auto" w:sz="6" w:space="0"/>
              <w:right w:val="single" w:color="auto" w:sz="6" w:space="0"/>
            </w:tcBorders>
            <w:noWrap w:val="0"/>
            <w:vAlign w:val="center"/>
          </w:tcPr>
          <w:p w14:paraId="1922FE8C">
            <w:pPr>
              <w:pageBreakBefore w:val="0"/>
              <w:bidi w:val="0"/>
              <w:spacing w:line="360" w:lineRule="auto"/>
              <w:jc w:val="left"/>
              <w:rPr>
                <w:rFonts w:hint="eastAsia" w:ascii="宋体" w:hAnsi="宋体" w:cs="宋体"/>
                <w:color w:val="auto"/>
                <w:sz w:val="24"/>
                <w:highlight w:val="none"/>
              </w:rPr>
            </w:pPr>
          </w:p>
        </w:tc>
        <w:tc>
          <w:tcPr>
            <w:tcW w:w="788" w:type="pct"/>
            <w:tcBorders>
              <w:top w:val="single" w:color="auto" w:sz="6" w:space="0"/>
              <w:left w:val="single" w:color="auto" w:sz="6" w:space="0"/>
              <w:bottom w:val="single" w:color="auto" w:sz="6" w:space="0"/>
              <w:right w:val="single" w:color="auto" w:sz="12" w:space="0"/>
            </w:tcBorders>
            <w:noWrap w:val="0"/>
            <w:vAlign w:val="top"/>
          </w:tcPr>
          <w:p w14:paraId="6669C854">
            <w:pPr>
              <w:pageBreakBefore w:val="0"/>
              <w:bidi w:val="0"/>
              <w:spacing w:line="360" w:lineRule="auto"/>
              <w:jc w:val="left"/>
              <w:rPr>
                <w:rFonts w:hint="eastAsia" w:ascii="宋体" w:hAnsi="宋体" w:cs="宋体"/>
                <w:color w:val="auto"/>
                <w:sz w:val="24"/>
                <w:highlight w:val="none"/>
              </w:rPr>
            </w:pPr>
          </w:p>
        </w:tc>
      </w:tr>
      <w:tr w14:paraId="062D3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5" w:type="pct"/>
            <w:tcBorders>
              <w:top w:val="single" w:color="auto" w:sz="6" w:space="0"/>
              <w:left w:val="single" w:color="auto" w:sz="12" w:space="0"/>
              <w:bottom w:val="single" w:color="auto" w:sz="6" w:space="0"/>
              <w:right w:val="single" w:color="auto" w:sz="6" w:space="0"/>
            </w:tcBorders>
            <w:noWrap w:val="0"/>
            <w:vAlign w:val="top"/>
          </w:tcPr>
          <w:p w14:paraId="0A190926">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99" w:type="pct"/>
            <w:tcBorders>
              <w:top w:val="single" w:color="auto" w:sz="6" w:space="0"/>
              <w:left w:val="single" w:color="auto" w:sz="6" w:space="0"/>
              <w:bottom w:val="single" w:color="auto" w:sz="6" w:space="0"/>
              <w:right w:val="single" w:color="auto" w:sz="6" w:space="0"/>
            </w:tcBorders>
            <w:noWrap w:val="0"/>
            <w:vAlign w:val="center"/>
          </w:tcPr>
          <w:p w14:paraId="78A80722">
            <w:pPr>
              <w:pageBreakBefore w:val="0"/>
              <w:bidi w:val="0"/>
              <w:spacing w:line="360" w:lineRule="auto"/>
              <w:jc w:val="left"/>
              <w:rPr>
                <w:rFonts w:hint="eastAsia" w:ascii="宋体" w:hAnsi="宋体" w:cs="宋体"/>
                <w:color w:val="auto"/>
                <w:sz w:val="24"/>
                <w:highlight w:val="none"/>
              </w:rPr>
            </w:pPr>
          </w:p>
        </w:tc>
        <w:tc>
          <w:tcPr>
            <w:tcW w:w="1111" w:type="pct"/>
            <w:tcBorders>
              <w:top w:val="single" w:color="auto" w:sz="6" w:space="0"/>
              <w:left w:val="single" w:color="auto" w:sz="6" w:space="0"/>
              <w:bottom w:val="single" w:color="auto" w:sz="6" w:space="0"/>
              <w:right w:val="single" w:color="auto" w:sz="6" w:space="0"/>
            </w:tcBorders>
            <w:noWrap w:val="0"/>
            <w:vAlign w:val="center"/>
          </w:tcPr>
          <w:p w14:paraId="4B58E8AB">
            <w:pPr>
              <w:pageBreakBefore w:val="0"/>
              <w:bidi w:val="0"/>
              <w:spacing w:line="360" w:lineRule="auto"/>
              <w:jc w:val="left"/>
              <w:rPr>
                <w:rFonts w:hint="eastAsia" w:ascii="宋体" w:hAnsi="宋体" w:cs="宋体"/>
                <w:color w:val="auto"/>
                <w:sz w:val="24"/>
                <w:highlight w:val="none"/>
              </w:rPr>
            </w:pPr>
          </w:p>
        </w:tc>
        <w:tc>
          <w:tcPr>
            <w:tcW w:w="1433" w:type="pct"/>
            <w:tcBorders>
              <w:top w:val="single" w:color="auto" w:sz="6" w:space="0"/>
              <w:left w:val="single" w:color="auto" w:sz="6" w:space="0"/>
              <w:bottom w:val="single" w:color="auto" w:sz="6" w:space="0"/>
              <w:right w:val="single" w:color="auto" w:sz="6" w:space="0"/>
            </w:tcBorders>
            <w:noWrap w:val="0"/>
            <w:vAlign w:val="center"/>
          </w:tcPr>
          <w:p w14:paraId="0DDD014F">
            <w:pPr>
              <w:pageBreakBefore w:val="0"/>
              <w:bidi w:val="0"/>
              <w:spacing w:line="360" w:lineRule="auto"/>
              <w:jc w:val="left"/>
              <w:rPr>
                <w:rFonts w:hint="eastAsia" w:ascii="宋体" w:hAnsi="宋体" w:cs="宋体"/>
                <w:color w:val="auto"/>
                <w:sz w:val="24"/>
                <w:highlight w:val="none"/>
              </w:rPr>
            </w:pPr>
          </w:p>
        </w:tc>
        <w:tc>
          <w:tcPr>
            <w:tcW w:w="788" w:type="pct"/>
            <w:tcBorders>
              <w:top w:val="single" w:color="auto" w:sz="6" w:space="0"/>
              <w:left w:val="single" w:color="auto" w:sz="6" w:space="0"/>
              <w:bottom w:val="single" w:color="auto" w:sz="6" w:space="0"/>
              <w:right w:val="single" w:color="auto" w:sz="12" w:space="0"/>
            </w:tcBorders>
            <w:noWrap w:val="0"/>
            <w:vAlign w:val="top"/>
          </w:tcPr>
          <w:p w14:paraId="646FA653">
            <w:pPr>
              <w:pageBreakBefore w:val="0"/>
              <w:bidi w:val="0"/>
              <w:spacing w:line="360" w:lineRule="auto"/>
              <w:jc w:val="left"/>
              <w:rPr>
                <w:rFonts w:hint="eastAsia" w:ascii="宋体" w:hAnsi="宋体" w:cs="宋体"/>
                <w:color w:val="auto"/>
                <w:sz w:val="24"/>
                <w:highlight w:val="none"/>
              </w:rPr>
            </w:pPr>
          </w:p>
        </w:tc>
      </w:tr>
      <w:tr w14:paraId="7085C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5" w:type="pct"/>
            <w:tcBorders>
              <w:top w:val="single" w:color="auto" w:sz="6" w:space="0"/>
              <w:left w:val="single" w:color="auto" w:sz="12" w:space="0"/>
              <w:bottom w:val="single" w:color="auto" w:sz="6" w:space="0"/>
              <w:right w:val="single" w:color="auto" w:sz="6" w:space="0"/>
            </w:tcBorders>
            <w:noWrap w:val="0"/>
            <w:vAlign w:val="top"/>
          </w:tcPr>
          <w:p w14:paraId="2A28E470">
            <w:pPr>
              <w:pageBreakBefore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99" w:type="pct"/>
            <w:tcBorders>
              <w:top w:val="single" w:color="auto" w:sz="6" w:space="0"/>
              <w:left w:val="single" w:color="auto" w:sz="6" w:space="0"/>
              <w:bottom w:val="single" w:color="auto" w:sz="6" w:space="0"/>
              <w:right w:val="single" w:color="auto" w:sz="6" w:space="0"/>
            </w:tcBorders>
            <w:noWrap w:val="0"/>
            <w:vAlign w:val="center"/>
          </w:tcPr>
          <w:p w14:paraId="27B5B9B6">
            <w:pPr>
              <w:pageBreakBefore w:val="0"/>
              <w:bidi w:val="0"/>
              <w:spacing w:line="360" w:lineRule="auto"/>
              <w:jc w:val="left"/>
              <w:rPr>
                <w:rFonts w:hint="eastAsia" w:ascii="宋体" w:hAnsi="宋体" w:cs="宋体"/>
                <w:color w:val="auto"/>
                <w:sz w:val="24"/>
                <w:highlight w:val="none"/>
              </w:rPr>
            </w:pPr>
          </w:p>
        </w:tc>
        <w:tc>
          <w:tcPr>
            <w:tcW w:w="1111" w:type="pct"/>
            <w:tcBorders>
              <w:top w:val="single" w:color="auto" w:sz="6" w:space="0"/>
              <w:left w:val="single" w:color="auto" w:sz="6" w:space="0"/>
              <w:bottom w:val="single" w:color="auto" w:sz="6" w:space="0"/>
              <w:right w:val="single" w:color="auto" w:sz="6" w:space="0"/>
            </w:tcBorders>
            <w:noWrap w:val="0"/>
            <w:vAlign w:val="center"/>
          </w:tcPr>
          <w:p w14:paraId="47DCEF6D">
            <w:pPr>
              <w:pageBreakBefore w:val="0"/>
              <w:bidi w:val="0"/>
              <w:spacing w:line="360" w:lineRule="auto"/>
              <w:jc w:val="left"/>
              <w:rPr>
                <w:rFonts w:hint="eastAsia" w:ascii="宋体" w:hAnsi="宋体" w:cs="宋体"/>
                <w:color w:val="auto"/>
                <w:sz w:val="24"/>
                <w:highlight w:val="none"/>
              </w:rPr>
            </w:pPr>
          </w:p>
        </w:tc>
        <w:tc>
          <w:tcPr>
            <w:tcW w:w="1433" w:type="pct"/>
            <w:tcBorders>
              <w:top w:val="single" w:color="auto" w:sz="6" w:space="0"/>
              <w:left w:val="single" w:color="auto" w:sz="6" w:space="0"/>
              <w:bottom w:val="single" w:color="auto" w:sz="6" w:space="0"/>
              <w:right w:val="single" w:color="auto" w:sz="6" w:space="0"/>
            </w:tcBorders>
            <w:noWrap w:val="0"/>
            <w:vAlign w:val="center"/>
          </w:tcPr>
          <w:p w14:paraId="2C26FD12">
            <w:pPr>
              <w:pageBreakBefore w:val="0"/>
              <w:bidi w:val="0"/>
              <w:spacing w:line="360" w:lineRule="auto"/>
              <w:jc w:val="left"/>
              <w:rPr>
                <w:rFonts w:hint="eastAsia" w:ascii="宋体" w:hAnsi="宋体" w:cs="宋体"/>
                <w:color w:val="auto"/>
                <w:sz w:val="24"/>
                <w:highlight w:val="none"/>
              </w:rPr>
            </w:pPr>
          </w:p>
        </w:tc>
        <w:tc>
          <w:tcPr>
            <w:tcW w:w="788" w:type="pct"/>
            <w:tcBorders>
              <w:top w:val="single" w:color="auto" w:sz="6" w:space="0"/>
              <w:left w:val="single" w:color="auto" w:sz="6" w:space="0"/>
              <w:bottom w:val="single" w:color="auto" w:sz="6" w:space="0"/>
              <w:right w:val="single" w:color="auto" w:sz="12" w:space="0"/>
            </w:tcBorders>
            <w:noWrap w:val="0"/>
            <w:vAlign w:val="top"/>
          </w:tcPr>
          <w:p w14:paraId="33B32BC2">
            <w:pPr>
              <w:pageBreakBefore w:val="0"/>
              <w:bidi w:val="0"/>
              <w:spacing w:line="360" w:lineRule="auto"/>
              <w:jc w:val="left"/>
              <w:rPr>
                <w:rFonts w:hint="eastAsia" w:ascii="宋体" w:hAnsi="宋体" w:cs="宋体"/>
                <w:color w:val="auto"/>
                <w:sz w:val="24"/>
                <w:highlight w:val="none"/>
              </w:rPr>
            </w:pPr>
          </w:p>
        </w:tc>
      </w:tr>
    </w:tbl>
    <w:p w14:paraId="7C95BCB2">
      <w:pPr>
        <w:pageBreakBefore w:val="0"/>
        <w:pBdr>
          <w:top w:val="none" w:color="000000" w:sz="0" w:space="0"/>
          <w:left w:val="none" w:color="000000" w:sz="0" w:space="0"/>
          <w:bottom w:val="none" w:color="000000" w:sz="0" w:space="0"/>
          <w:right w:val="none" w:color="000000" w:sz="0" w:space="0"/>
        </w:pBdr>
        <w:bidi w:val="0"/>
        <w:spacing w:before="0" w:after="0" w:line="360" w:lineRule="auto"/>
        <w:ind w:left="0" w:right="1560" w:firstLine="480"/>
        <w:jc w:val="both"/>
        <w:rPr>
          <w:color w:val="auto"/>
          <w:highlight w:val="none"/>
        </w:rPr>
      </w:pPr>
      <w:r>
        <w:rPr>
          <w:rFonts w:ascii="宋体" w:hAnsi="宋体" w:eastAsia="宋体" w:cs="宋体"/>
          <w:color w:val="auto"/>
          <w:sz w:val="24"/>
          <w:highlight w:val="none"/>
        </w:rPr>
        <w:t>供应商全称（盖章）：</w:t>
      </w:r>
    </w:p>
    <w:p w14:paraId="007671C0">
      <w:pPr>
        <w:pageBreakBefore w:val="0"/>
        <w:pBdr>
          <w:top w:val="none" w:color="000000" w:sz="0" w:space="0"/>
          <w:left w:val="none" w:color="000000" w:sz="0" w:space="0"/>
          <w:bottom w:val="none" w:color="000000" w:sz="0" w:space="0"/>
          <w:right w:val="none" w:color="000000" w:sz="0" w:space="0"/>
        </w:pBdr>
        <w:bidi w:val="0"/>
        <w:spacing w:before="0" w:after="0" w:line="360" w:lineRule="auto"/>
        <w:ind w:left="0" w:right="0" w:firstLine="0"/>
        <w:jc w:val="both"/>
        <w:rPr>
          <w:rFonts w:ascii="宋体" w:hAnsi="宋体" w:eastAsia="宋体" w:cs="宋体"/>
          <w:b/>
          <w:color w:val="auto"/>
          <w:sz w:val="24"/>
          <w:highlight w:val="none"/>
        </w:rPr>
      </w:pPr>
      <w:r>
        <w:rPr>
          <w:rFonts w:ascii="宋体" w:hAnsi="宋体" w:eastAsia="宋体" w:cs="宋体"/>
          <w:color w:val="auto"/>
          <w:sz w:val="24"/>
          <w:highlight w:val="none"/>
        </w:rPr>
        <w:t>  </w:t>
      </w:r>
      <w:r>
        <w:rPr>
          <w:rFonts w:hint="eastAsia" w:ascii="宋体" w:hAnsi="宋体" w:eastAsia="宋体" w:cs="宋体"/>
          <w:color w:val="auto"/>
          <w:sz w:val="24"/>
          <w:highlight w:val="none"/>
          <w:lang w:val="en-US" w:eastAsia="zh-CN"/>
        </w:rPr>
        <w:t>日</w:t>
      </w:r>
      <w:r>
        <w:rPr>
          <w:rFonts w:ascii="宋体" w:hAnsi="宋体" w:eastAsia="宋体" w:cs="宋体"/>
          <w:color w:val="auto"/>
          <w:sz w:val="24"/>
          <w:highlight w:val="none"/>
        </w:rPr>
        <w:t>期：</w:t>
      </w:r>
    </w:p>
    <w:p w14:paraId="6EE5BBDD">
      <w:pPr>
        <w:pageBreakBefore w:val="0"/>
        <w:bidi w:val="0"/>
        <w:snapToGrid w:val="0"/>
        <w:spacing w:line="360" w:lineRule="auto"/>
        <w:contextualSpacing/>
        <w:rPr>
          <w:rFonts w:hint="eastAsia" w:ascii="宋体" w:hAnsi="宋体" w:cs="宋体"/>
          <w:b/>
          <w:color w:val="auto"/>
          <w:sz w:val="24"/>
          <w:highlight w:val="none"/>
        </w:rPr>
      </w:pPr>
    </w:p>
    <w:p w14:paraId="2439DA3A">
      <w:pPr>
        <w:pageBreakBefore w:val="0"/>
        <w:bidi w:val="0"/>
        <w:snapToGrid w:val="0"/>
        <w:spacing w:line="360" w:lineRule="auto"/>
        <w:contextualSpacing/>
        <w:rPr>
          <w:rFonts w:hint="eastAsia" w:ascii="宋体" w:hAnsi="宋体" w:cs="宋体"/>
          <w:b/>
          <w:color w:val="auto"/>
          <w:sz w:val="24"/>
          <w:highlight w:val="none"/>
        </w:rPr>
      </w:pPr>
      <w:r>
        <w:rPr>
          <w:rFonts w:hint="eastAsia" w:ascii="宋体" w:hAnsi="宋体" w:cs="宋体"/>
          <w:b/>
          <w:color w:val="auto"/>
          <w:sz w:val="24"/>
          <w:highlight w:val="none"/>
        </w:rPr>
        <w:t>注：</w:t>
      </w:r>
    </w:p>
    <w:p w14:paraId="4E63B79A">
      <w:pPr>
        <w:pageBreakBefore w:val="0"/>
        <w:bidi w:val="0"/>
        <w:snapToGrid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1.投标人提交的投标文件中与招标文件第</w:t>
      </w:r>
      <w:r>
        <w:rPr>
          <w:rFonts w:hint="eastAsia" w:ascii="宋体" w:hAnsi="宋体" w:cs="宋体"/>
          <w:color w:val="auto"/>
          <w:sz w:val="24"/>
          <w:highlight w:val="none"/>
          <w:lang w:eastAsia="zh-CN"/>
        </w:rPr>
        <w:t>三</w:t>
      </w:r>
      <w:r>
        <w:rPr>
          <w:rFonts w:hint="eastAsia" w:ascii="宋体" w:hAnsi="宋体" w:cs="宋体"/>
          <w:color w:val="auto"/>
          <w:sz w:val="24"/>
          <w:highlight w:val="none"/>
        </w:rPr>
        <w:t>部分“项目需求”中的商务部分的要求，应逐条填列在偏离表中。</w:t>
      </w:r>
    </w:p>
    <w:p w14:paraId="733547E3">
      <w:pPr>
        <w:pageBreakBefore w:val="0"/>
        <w:bidi w:val="0"/>
        <w:snapToGrid w:val="0"/>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2.“偏离说明”一栏选择“正偏离”、“无偏离”、“负偏离”进行填写。</w:t>
      </w:r>
      <w:r>
        <w:rPr>
          <w:rFonts w:hint="eastAsia" w:ascii="宋体" w:hAnsi="宋体" w:eastAsia="宋体" w:cs="宋体"/>
          <w:color w:val="auto"/>
          <w:sz w:val="24"/>
          <w:highlight w:val="none"/>
          <w:lang w:val="zh-CN"/>
        </w:rPr>
        <w:t>正偏离的确认和负偏离的是否响应招标文件，经三分之二评委认定。</w:t>
      </w:r>
    </w:p>
    <w:p w14:paraId="2AAAFD4C">
      <w:pPr>
        <w:pageBreakBefore w:val="0"/>
        <w:bidi w:val="0"/>
        <w:snapToGrid w:val="0"/>
        <w:spacing w:line="360" w:lineRule="auto"/>
        <w:ind w:left="479" w:leftChars="228"/>
        <w:contextualSpacing/>
        <w:rPr>
          <w:rFonts w:hint="eastAsia" w:ascii="宋体" w:hAnsi="宋体" w:cs="宋体"/>
          <w:color w:val="auto"/>
          <w:sz w:val="24"/>
          <w:highlight w:val="none"/>
        </w:rPr>
      </w:pPr>
      <w:r>
        <w:rPr>
          <w:rFonts w:hint="eastAsia" w:ascii="宋体" w:hAnsi="宋体" w:cs="宋体"/>
          <w:color w:val="auto"/>
          <w:sz w:val="24"/>
          <w:highlight w:val="none"/>
        </w:rPr>
        <w:t>3.投标人如果虚假响应，将取消其投标或中标资格，并按有关规定进行处罚。</w:t>
      </w:r>
    </w:p>
    <w:p w14:paraId="4BF96094">
      <w:pPr>
        <w:rPr>
          <w:rFonts w:hint="eastAsia" w:ascii="宋体" w:hAnsi="宋体" w:cs="宋体"/>
          <w:b/>
          <w:color w:val="auto"/>
          <w:kern w:val="0"/>
          <w:sz w:val="24"/>
          <w:szCs w:val="24"/>
          <w:highlight w:val="none"/>
        </w:rPr>
      </w:pPr>
      <w:r>
        <w:rPr>
          <w:rFonts w:hint="eastAsia" w:ascii="宋体" w:hAnsi="宋体" w:cs="宋体"/>
          <w:bCs/>
          <w:color w:val="auto"/>
          <w:sz w:val="24"/>
          <w:highlight w:val="none"/>
        </w:rPr>
        <w:t>4.供应商若提供其他增值服务，可以在表中自行据实填写。</w:t>
      </w:r>
    </w:p>
    <w:p w14:paraId="3EB4CDC7">
      <w:pPr>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0FA97590">
      <w:pPr>
        <w:widowControl/>
        <w:adjustRightInd w:val="0"/>
        <w:snapToGrid w:val="0"/>
        <w:spacing w:line="360" w:lineRule="auto"/>
        <w:jc w:val="center"/>
        <w:outlineLvl w:val="1"/>
        <w:rPr>
          <w:rFonts w:ascii="宋体" w:hAnsi="宋体" w:cs="宋体"/>
          <w:color w:val="auto"/>
          <w:kern w:val="0"/>
          <w:highlight w:val="none"/>
        </w:rPr>
      </w:pPr>
      <w:r>
        <w:rPr>
          <w:rFonts w:hint="eastAsia" w:ascii="宋体" w:hAnsi="宋体" w:cs="宋体"/>
          <w:b/>
          <w:color w:val="auto"/>
          <w:kern w:val="0"/>
          <w:sz w:val="24"/>
          <w:szCs w:val="24"/>
          <w:highlight w:val="none"/>
          <w:lang w:val="en-US" w:eastAsia="zh-CN"/>
        </w:rPr>
        <w:t>8、</w:t>
      </w:r>
      <w:r>
        <w:rPr>
          <w:rFonts w:hint="eastAsia" w:ascii="宋体" w:hAnsi="宋体" w:cs="宋体"/>
          <w:b/>
          <w:color w:val="auto"/>
          <w:kern w:val="0"/>
          <w:sz w:val="24"/>
          <w:szCs w:val="24"/>
          <w:highlight w:val="none"/>
        </w:rPr>
        <w:t>磋商响应报价表</w:t>
      </w:r>
    </w:p>
    <w:p w14:paraId="6E76407C">
      <w:pPr>
        <w:adjustRightInd w:val="0"/>
        <w:snapToGrid w:val="0"/>
        <w:spacing w:line="360" w:lineRule="auto"/>
        <w:ind w:firstLine="241" w:firstLineChars="100"/>
        <w:textAlignment w:val="baseline"/>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项目名称：</w:t>
      </w:r>
      <w:r>
        <w:rPr>
          <w:rFonts w:hint="eastAsia" w:ascii="宋体" w:hAnsi="宋体" w:cs="宋体"/>
          <w:color w:val="auto"/>
          <w:kern w:val="0"/>
          <w:sz w:val="24"/>
          <w:szCs w:val="24"/>
          <w:highlight w:val="none"/>
          <w:lang w:eastAsia="zh-CN"/>
        </w:rPr>
        <w:t>海安大生鑫天地LED屏幕采购及安装项目</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1043"/>
      </w:tblGrid>
      <w:tr w14:paraId="2BE39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52A9C1F0">
            <w:pPr>
              <w:adjustRightInd w:val="0"/>
              <w:snapToGrid w:val="0"/>
              <w:spacing w:line="360" w:lineRule="auto"/>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705" w:type="dxa"/>
            <w:tcBorders>
              <w:top w:val="single" w:color="auto" w:sz="4" w:space="0"/>
              <w:left w:val="single" w:color="auto" w:sz="4" w:space="0"/>
              <w:bottom w:val="single" w:color="auto" w:sz="4" w:space="0"/>
              <w:right w:val="single" w:color="auto" w:sz="4" w:space="0"/>
            </w:tcBorders>
            <w:vAlign w:val="center"/>
          </w:tcPr>
          <w:p w14:paraId="5D3302DD">
            <w:pPr>
              <w:adjustRightInd w:val="0"/>
              <w:snapToGrid w:val="0"/>
              <w:spacing w:line="360" w:lineRule="auto"/>
              <w:jc w:val="center"/>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14:paraId="1DDAEEF2">
            <w:pPr>
              <w:adjustRightInd w:val="0"/>
              <w:snapToGrid w:val="0"/>
              <w:spacing w:line="360" w:lineRule="auto"/>
              <w:jc w:val="center"/>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14:paraId="1DDAE661">
            <w:pPr>
              <w:adjustRightInd w:val="0"/>
              <w:snapToGrid w:val="0"/>
              <w:spacing w:line="360" w:lineRule="auto"/>
              <w:jc w:val="center"/>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磋商总报价（元）</w:t>
            </w:r>
          </w:p>
        </w:tc>
        <w:tc>
          <w:tcPr>
            <w:tcW w:w="1043" w:type="dxa"/>
            <w:tcBorders>
              <w:top w:val="single" w:color="auto" w:sz="4" w:space="0"/>
              <w:left w:val="single" w:color="auto" w:sz="4" w:space="0"/>
              <w:bottom w:val="single" w:color="auto" w:sz="4" w:space="0"/>
              <w:right w:val="single" w:color="auto" w:sz="4" w:space="0"/>
            </w:tcBorders>
            <w:vAlign w:val="center"/>
          </w:tcPr>
          <w:p w14:paraId="6D1D1AB8">
            <w:pPr>
              <w:adjustRightInd w:val="0"/>
              <w:snapToGrid w:val="0"/>
              <w:spacing w:line="360" w:lineRule="auto"/>
              <w:jc w:val="center"/>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14:paraId="0C557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68DE3178">
            <w:pPr>
              <w:adjustRightInd w:val="0"/>
              <w:snapToGrid w:val="0"/>
              <w:spacing w:line="360" w:lineRule="auto"/>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p>
        </w:tc>
        <w:tc>
          <w:tcPr>
            <w:tcW w:w="2705" w:type="dxa"/>
            <w:vMerge w:val="restart"/>
            <w:tcBorders>
              <w:top w:val="single" w:color="auto" w:sz="4" w:space="0"/>
              <w:left w:val="single" w:color="auto" w:sz="4" w:space="0"/>
              <w:right w:val="single" w:color="auto" w:sz="4" w:space="0"/>
            </w:tcBorders>
            <w:vAlign w:val="center"/>
          </w:tcPr>
          <w:p w14:paraId="62FA9DC7">
            <w:pPr>
              <w:adjustRightInd w:val="0"/>
              <w:snapToGrid w:val="0"/>
              <w:spacing w:line="360" w:lineRule="auto"/>
              <w:textAlignment w:val="baseline"/>
              <w:rPr>
                <w:rFonts w:hint="eastAsia" w:ascii="宋体" w:hAnsi="宋体" w:eastAsia="宋体" w:cs="宋体"/>
                <w:b/>
                <w:bCs/>
                <w:color w:val="auto"/>
                <w:kern w:val="0"/>
                <w:sz w:val="20"/>
                <w:szCs w:val="21"/>
                <w:highlight w:val="none"/>
                <w:lang w:eastAsia="zh-CN"/>
              </w:rPr>
            </w:pPr>
            <w:r>
              <w:rPr>
                <w:rFonts w:hint="eastAsia" w:ascii="宋体" w:hAnsi="宋体" w:cs="宋体"/>
                <w:b/>
                <w:color w:val="auto"/>
                <w:kern w:val="0"/>
                <w:sz w:val="22"/>
                <w:szCs w:val="24"/>
                <w:highlight w:val="none"/>
                <w:lang w:eastAsia="zh-CN"/>
              </w:rPr>
              <w:t>海安大生鑫天地LED屏幕采购及安装项目</w:t>
            </w:r>
          </w:p>
        </w:tc>
        <w:tc>
          <w:tcPr>
            <w:tcW w:w="1420" w:type="dxa"/>
            <w:tcBorders>
              <w:top w:val="single" w:color="auto" w:sz="4" w:space="0"/>
              <w:left w:val="single" w:color="auto" w:sz="4" w:space="0"/>
              <w:bottom w:val="single" w:color="auto" w:sz="4" w:space="0"/>
              <w:right w:val="single" w:color="auto" w:sz="4" w:space="0"/>
            </w:tcBorders>
            <w:vAlign w:val="center"/>
          </w:tcPr>
          <w:p w14:paraId="5CC00369">
            <w:pPr>
              <w:adjustRightInd w:val="0"/>
              <w:snapToGrid w:val="0"/>
              <w:spacing w:line="360" w:lineRule="auto"/>
              <w:jc w:val="center"/>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首次报价</w:t>
            </w:r>
          </w:p>
        </w:tc>
        <w:tc>
          <w:tcPr>
            <w:tcW w:w="3855" w:type="dxa"/>
            <w:tcBorders>
              <w:top w:val="single" w:color="auto" w:sz="4" w:space="0"/>
              <w:left w:val="single" w:color="auto" w:sz="4" w:space="0"/>
              <w:bottom w:val="single" w:color="auto" w:sz="4" w:space="0"/>
              <w:right w:val="single" w:color="auto" w:sz="4" w:space="0"/>
            </w:tcBorders>
            <w:vAlign w:val="center"/>
          </w:tcPr>
          <w:p w14:paraId="33EC1F9F">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大写（人民币）：</w:t>
            </w:r>
          </w:p>
          <w:p w14:paraId="0483038C">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c>
          <w:tcPr>
            <w:tcW w:w="1043" w:type="dxa"/>
            <w:tcBorders>
              <w:top w:val="single" w:color="auto" w:sz="4" w:space="0"/>
              <w:left w:val="single" w:color="auto" w:sz="4" w:space="0"/>
              <w:bottom w:val="single" w:color="auto" w:sz="4" w:space="0"/>
              <w:right w:val="single" w:color="auto" w:sz="4" w:space="0"/>
            </w:tcBorders>
            <w:vAlign w:val="center"/>
          </w:tcPr>
          <w:p w14:paraId="5F5FF75F">
            <w:pPr>
              <w:adjustRightInd w:val="0"/>
              <w:snapToGrid w:val="0"/>
              <w:spacing w:line="360" w:lineRule="auto"/>
              <w:textAlignment w:val="baseline"/>
              <w:rPr>
                <w:rFonts w:ascii="宋体" w:hAnsi="宋体" w:cs="宋体"/>
                <w:color w:val="auto"/>
                <w:kern w:val="0"/>
                <w:sz w:val="24"/>
                <w:szCs w:val="24"/>
                <w:highlight w:val="none"/>
              </w:rPr>
            </w:pPr>
          </w:p>
        </w:tc>
      </w:tr>
      <w:tr w14:paraId="7718B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3EAF5010">
            <w:pPr>
              <w:adjustRightInd w:val="0"/>
              <w:snapToGrid w:val="0"/>
              <w:spacing w:line="360" w:lineRule="auto"/>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w:t>
            </w:r>
          </w:p>
        </w:tc>
        <w:tc>
          <w:tcPr>
            <w:tcW w:w="2705" w:type="dxa"/>
            <w:vMerge w:val="continue"/>
            <w:tcBorders>
              <w:left w:val="single" w:color="auto" w:sz="4" w:space="0"/>
              <w:right w:val="single" w:color="auto" w:sz="4" w:space="0"/>
            </w:tcBorders>
            <w:vAlign w:val="center"/>
          </w:tcPr>
          <w:p w14:paraId="3E04CC9F">
            <w:pPr>
              <w:adjustRightInd w:val="0"/>
              <w:snapToGrid w:val="0"/>
              <w:spacing w:line="360" w:lineRule="auto"/>
              <w:textAlignment w:val="baseline"/>
              <w:rPr>
                <w:rFonts w:ascii="宋体" w:hAnsi="宋体" w:cs="宋体"/>
                <w:bCs/>
                <w:color w:val="auto"/>
                <w:kern w:val="0"/>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80B8820">
            <w:pPr>
              <w:adjustRightInd w:val="0"/>
              <w:snapToGrid w:val="0"/>
              <w:spacing w:line="360" w:lineRule="auto"/>
              <w:jc w:val="center"/>
              <w:textAlignment w:val="baseline"/>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第二次报价（磋商现场填写）</w:t>
            </w:r>
          </w:p>
        </w:tc>
        <w:tc>
          <w:tcPr>
            <w:tcW w:w="3855" w:type="dxa"/>
            <w:tcBorders>
              <w:top w:val="single" w:color="auto" w:sz="4" w:space="0"/>
              <w:left w:val="single" w:color="auto" w:sz="4" w:space="0"/>
              <w:bottom w:val="single" w:color="auto" w:sz="4" w:space="0"/>
              <w:right w:val="single" w:color="auto" w:sz="4" w:space="0"/>
            </w:tcBorders>
            <w:vAlign w:val="center"/>
          </w:tcPr>
          <w:p w14:paraId="685B9F70">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大写（人民币）：</w:t>
            </w:r>
          </w:p>
          <w:p w14:paraId="238431A1">
            <w:pPr>
              <w:adjustRightInd w:val="0"/>
              <w:snapToGrid w:val="0"/>
              <w:spacing w:line="360" w:lineRule="auto"/>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w:t>
            </w:r>
          </w:p>
        </w:tc>
        <w:tc>
          <w:tcPr>
            <w:tcW w:w="1043" w:type="dxa"/>
            <w:tcBorders>
              <w:top w:val="single" w:color="auto" w:sz="4" w:space="0"/>
              <w:left w:val="single" w:color="auto" w:sz="4" w:space="0"/>
              <w:bottom w:val="single" w:color="auto" w:sz="4" w:space="0"/>
              <w:right w:val="single" w:color="auto" w:sz="4" w:space="0"/>
            </w:tcBorders>
            <w:vAlign w:val="center"/>
          </w:tcPr>
          <w:p w14:paraId="4A9471AA">
            <w:pPr>
              <w:adjustRightInd w:val="0"/>
              <w:snapToGrid w:val="0"/>
              <w:spacing w:line="360" w:lineRule="auto"/>
              <w:textAlignment w:val="baseline"/>
              <w:rPr>
                <w:rFonts w:ascii="宋体" w:hAnsi="宋体" w:cs="宋体"/>
                <w:color w:val="auto"/>
                <w:kern w:val="0"/>
                <w:sz w:val="24"/>
                <w:szCs w:val="24"/>
                <w:highlight w:val="none"/>
              </w:rPr>
            </w:pPr>
          </w:p>
        </w:tc>
      </w:tr>
    </w:tbl>
    <w:p w14:paraId="2F9D60AE">
      <w:pPr>
        <w:adjustRightInd w:val="0"/>
        <w:snapToGrid w:val="0"/>
        <w:spacing w:line="360" w:lineRule="auto"/>
        <w:jc w:val="left"/>
        <w:textAlignment w:val="baseline"/>
        <w:rPr>
          <w:rFonts w:ascii="宋体" w:hAnsi="宋体" w:cs="宋体"/>
          <w:color w:val="auto"/>
          <w:kern w:val="0"/>
          <w:sz w:val="24"/>
          <w:szCs w:val="24"/>
          <w:highlight w:val="none"/>
        </w:rPr>
      </w:pPr>
    </w:p>
    <w:p w14:paraId="0E9B3F2B">
      <w:pPr>
        <w:adjustRightInd w:val="0"/>
        <w:snapToGri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供应商：（加盖公章）</w:t>
      </w:r>
    </w:p>
    <w:p w14:paraId="014398BE">
      <w:pPr>
        <w:adjustRightInd w:val="0"/>
        <w:snapToGri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法定代表人或其授权委托人：</w:t>
      </w:r>
      <w:r>
        <w:rPr>
          <w:rFonts w:hint="eastAsia" w:ascii="宋体" w:hAnsi="宋体" w:cs="宋体"/>
          <w:bCs/>
          <w:color w:val="auto"/>
          <w:kern w:val="0"/>
          <w:sz w:val="24"/>
          <w:szCs w:val="24"/>
          <w:highlight w:val="none"/>
        </w:rPr>
        <w:t>（签字或盖章）</w:t>
      </w:r>
    </w:p>
    <w:p w14:paraId="1DC54AC7">
      <w:pPr>
        <w:pStyle w:val="22"/>
        <w:adjustRightInd w:val="0"/>
        <w:snapToGrid w:val="0"/>
        <w:spacing w:line="360" w:lineRule="auto"/>
        <w:ind w:left="0"/>
        <w:textAlignment w:val="baseline"/>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年月日</w:t>
      </w:r>
    </w:p>
    <w:p w14:paraId="3A2FEE96">
      <w:pPr>
        <w:adjustRightInd w:val="0"/>
        <w:snapToGrid w:val="0"/>
        <w:spacing w:line="360" w:lineRule="auto"/>
        <w:textAlignment w:val="baseline"/>
        <w:rPr>
          <w:rFonts w:ascii="宋体" w:hAnsi="宋体" w:cs="宋体"/>
          <w:b/>
          <w:bCs/>
          <w:color w:val="auto"/>
          <w:kern w:val="0"/>
          <w:sz w:val="24"/>
          <w:szCs w:val="24"/>
          <w:highlight w:val="none"/>
        </w:rPr>
      </w:pPr>
    </w:p>
    <w:p w14:paraId="7BA3FEFB">
      <w:pPr>
        <w:adjustRightInd w:val="0"/>
        <w:snapToGrid w:val="0"/>
        <w:spacing w:line="360" w:lineRule="auto"/>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w:t>
      </w:r>
    </w:p>
    <w:p w14:paraId="2CC7D54E">
      <w:pPr>
        <w:numPr>
          <w:ilvl w:val="0"/>
          <w:numId w:val="3"/>
        </w:numPr>
        <w:adjustRightInd w:val="0"/>
        <w:snapToGrid w:val="0"/>
        <w:spacing w:line="360" w:lineRule="auto"/>
        <w:ind w:firstLine="240" w:firstLineChars="100"/>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本表为格式表，不得自行改动，必须提供。</w:t>
      </w:r>
    </w:p>
    <w:p w14:paraId="34A791DB">
      <w:pPr>
        <w:numPr>
          <w:ilvl w:val="0"/>
          <w:numId w:val="3"/>
        </w:numPr>
        <w:adjustRightInd w:val="0"/>
        <w:snapToGrid w:val="0"/>
        <w:spacing w:line="360" w:lineRule="auto"/>
        <w:ind w:firstLine="241" w:firstLineChars="100"/>
        <w:textAlignment w:val="baseline"/>
        <w:rPr>
          <w:rFonts w:ascii="宋体" w:hAnsi="宋体" w:cs="宋体"/>
          <w:b/>
          <w:bCs/>
          <w:color w:val="auto"/>
          <w:kern w:val="0"/>
          <w:sz w:val="24"/>
          <w:szCs w:val="24"/>
          <w:highlight w:val="none"/>
          <w:u w:val="none"/>
        </w:rPr>
      </w:pPr>
      <w:r>
        <w:rPr>
          <w:rFonts w:hint="eastAsia" w:ascii="宋体" w:hAnsi="宋体" w:cs="宋体"/>
          <w:b/>
          <w:bCs/>
          <w:color w:val="auto"/>
          <w:sz w:val="24"/>
          <w:szCs w:val="21"/>
          <w:highlight w:val="none"/>
          <w:u w:val="none"/>
        </w:rPr>
        <w:t>本项目采用固定单价</w:t>
      </w:r>
      <w:r>
        <w:rPr>
          <w:rFonts w:hint="eastAsia" w:ascii="宋体" w:hAnsi="宋体" w:cs="宋体"/>
          <w:b/>
          <w:bCs/>
          <w:color w:val="auto"/>
          <w:sz w:val="24"/>
          <w:szCs w:val="21"/>
          <w:highlight w:val="none"/>
          <w:u w:val="none"/>
          <w:lang w:val="en-US" w:eastAsia="zh-CN"/>
        </w:rPr>
        <w:t>报价</w:t>
      </w:r>
      <w:r>
        <w:rPr>
          <w:rFonts w:hint="eastAsia" w:ascii="宋体" w:hAnsi="宋体" w:cs="宋体"/>
          <w:b/>
          <w:bCs/>
          <w:color w:val="auto"/>
          <w:sz w:val="24"/>
          <w:szCs w:val="21"/>
          <w:highlight w:val="none"/>
          <w:u w:val="none"/>
        </w:rPr>
        <w:t>，最终结算时按实结算，单价不予调整</w:t>
      </w:r>
      <w:r>
        <w:rPr>
          <w:rFonts w:hint="eastAsia" w:ascii="宋体" w:hAnsi="宋体" w:cs="宋体"/>
          <w:b/>
          <w:bCs/>
          <w:color w:val="auto"/>
          <w:sz w:val="24"/>
          <w:szCs w:val="21"/>
          <w:highlight w:val="none"/>
          <w:u w:val="none"/>
          <w:lang w:eastAsia="zh-CN"/>
        </w:rPr>
        <w:t>。</w:t>
      </w:r>
    </w:p>
    <w:p w14:paraId="730585B9">
      <w:pPr>
        <w:adjustRightInd w:val="0"/>
        <w:snapToGrid w:val="0"/>
        <w:spacing w:line="360" w:lineRule="auto"/>
        <w:textAlignment w:val="baseline"/>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注：第二次报价将在开标现场填写，响应文件密封提交时只需填写磋商报价总计（首次）。报价明细表与首次报价表金额相对应，且第二次报价时，磋商响应报价明细表按同比例下浮。</w:t>
      </w:r>
    </w:p>
    <w:p w14:paraId="149E14C5">
      <w:pPr>
        <w:widowControl/>
        <w:adjustRightInd w:val="0"/>
        <w:snapToGrid w:val="0"/>
        <w:spacing w:line="360" w:lineRule="auto"/>
        <w:jc w:val="left"/>
        <w:rPr>
          <w:rFonts w:ascii="宋体" w:hAnsi="宋体" w:cs="宋体"/>
          <w:b/>
          <w:color w:val="auto"/>
          <w:kern w:val="0"/>
          <w:sz w:val="24"/>
          <w:szCs w:val="24"/>
          <w:highlight w:val="none"/>
        </w:rPr>
      </w:pPr>
    </w:p>
    <w:p w14:paraId="2D196DD1">
      <w:pPr>
        <w:widowControl/>
        <w:adjustRightInd w:val="0"/>
        <w:snapToGrid w:val="0"/>
        <w:spacing w:line="360" w:lineRule="auto"/>
        <w:jc w:val="center"/>
        <w:outlineLvl w:val="1"/>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br w:type="page"/>
      </w:r>
      <w:r>
        <w:rPr>
          <w:rFonts w:hint="eastAsia" w:ascii="宋体" w:hAnsi="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lang w:val="en-US" w:eastAsia="zh-CN"/>
        </w:rPr>
        <w:t>报价明细表</w:t>
      </w:r>
    </w:p>
    <w:tbl>
      <w:tblPr>
        <w:tblStyle w:val="4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990"/>
        <w:gridCol w:w="1990"/>
        <w:gridCol w:w="647"/>
        <w:gridCol w:w="784"/>
        <w:gridCol w:w="1461"/>
        <w:gridCol w:w="1685"/>
        <w:gridCol w:w="796"/>
      </w:tblGrid>
      <w:tr w14:paraId="31D0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74" w:type="dxa"/>
            <w:vAlign w:val="center"/>
          </w:tcPr>
          <w:p w14:paraId="4EDD3960">
            <w:pPr>
              <w:spacing w:after="0" w:line="240" w:lineRule="auto"/>
              <w:jc w:val="center"/>
              <w:rPr>
                <w:rFonts w:hint="default" w:ascii="宋体" w:hAnsi="宋体" w:eastAsia="宋体" w:cs="宋体"/>
                <w:b/>
                <w:bCs/>
                <w:color w:val="auto"/>
                <w:kern w:val="0"/>
                <w:sz w:val="24"/>
                <w:szCs w:val="24"/>
                <w:highlight w:val="none"/>
                <w:vertAlign w:val="baseline"/>
                <w:lang w:val="en-US" w:eastAsia="zh-CN"/>
              </w:rPr>
            </w:pPr>
            <w:r>
              <w:rPr>
                <w:rFonts w:hint="eastAsia"/>
                <w:b/>
                <w:bCs/>
                <w:color w:val="auto"/>
                <w:highlight w:val="none"/>
              </w:rPr>
              <w:t>序号</w:t>
            </w:r>
          </w:p>
        </w:tc>
        <w:tc>
          <w:tcPr>
            <w:tcW w:w="990" w:type="dxa"/>
            <w:vAlign w:val="center"/>
          </w:tcPr>
          <w:p w14:paraId="6FD8B571">
            <w:pPr>
              <w:spacing w:after="0" w:line="240" w:lineRule="auto"/>
              <w:jc w:val="center"/>
              <w:rPr>
                <w:rFonts w:hint="default" w:ascii="宋体" w:hAnsi="宋体" w:eastAsia="宋体" w:cs="宋体"/>
                <w:b/>
                <w:bCs/>
                <w:color w:val="auto"/>
                <w:kern w:val="0"/>
                <w:sz w:val="24"/>
                <w:szCs w:val="24"/>
                <w:highlight w:val="none"/>
                <w:vertAlign w:val="baseline"/>
                <w:lang w:val="en-US" w:eastAsia="zh-CN"/>
              </w:rPr>
            </w:pPr>
            <w:r>
              <w:rPr>
                <w:rFonts w:hint="eastAsia"/>
                <w:b/>
                <w:bCs/>
                <w:color w:val="auto"/>
                <w:highlight w:val="none"/>
              </w:rPr>
              <w:t>名称</w:t>
            </w:r>
          </w:p>
        </w:tc>
        <w:tc>
          <w:tcPr>
            <w:tcW w:w="1990" w:type="dxa"/>
            <w:vAlign w:val="center"/>
          </w:tcPr>
          <w:p w14:paraId="0430DE56">
            <w:pPr>
              <w:spacing w:after="0" w:line="240" w:lineRule="auto"/>
              <w:jc w:val="center"/>
              <w:rPr>
                <w:rFonts w:hint="default" w:ascii="宋体" w:hAnsi="宋体" w:eastAsia="宋体" w:cs="宋体"/>
                <w:b/>
                <w:bCs/>
                <w:color w:val="auto"/>
                <w:kern w:val="0"/>
                <w:sz w:val="24"/>
                <w:szCs w:val="24"/>
                <w:highlight w:val="none"/>
                <w:vertAlign w:val="baseline"/>
                <w:lang w:val="en-US" w:eastAsia="zh-CN"/>
              </w:rPr>
            </w:pPr>
            <w:r>
              <w:rPr>
                <w:rFonts w:hint="eastAsia"/>
                <w:b/>
                <w:bCs/>
                <w:color w:val="auto"/>
                <w:highlight w:val="none"/>
              </w:rPr>
              <w:t>技术参数要求</w:t>
            </w:r>
          </w:p>
        </w:tc>
        <w:tc>
          <w:tcPr>
            <w:tcW w:w="647" w:type="dxa"/>
            <w:vAlign w:val="center"/>
          </w:tcPr>
          <w:p w14:paraId="067B2340">
            <w:pPr>
              <w:spacing w:after="0" w:line="240" w:lineRule="auto"/>
              <w:jc w:val="center"/>
              <w:rPr>
                <w:rFonts w:hint="default" w:ascii="宋体" w:hAnsi="宋体" w:eastAsia="宋体" w:cs="宋体"/>
                <w:b/>
                <w:bCs/>
                <w:color w:val="auto"/>
                <w:kern w:val="0"/>
                <w:sz w:val="24"/>
                <w:szCs w:val="24"/>
                <w:highlight w:val="none"/>
                <w:vertAlign w:val="baseline"/>
                <w:lang w:val="en-US" w:eastAsia="zh-CN"/>
              </w:rPr>
            </w:pPr>
            <w:r>
              <w:rPr>
                <w:rFonts w:hint="eastAsia"/>
                <w:b/>
                <w:bCs/>
                <w:color w:val="auto"/>
                <w:highlight w:val="none"/>
              </w:rPr>
              <w:t>单位</w:t>
            </w:r>
          </w:p>
        </w:tc>
        <w:tc>
          <w:tcPr>
            <w:tcW w:w="784" w:type="dxa"/>
            <w:vAlign w:val="center"/>
          </w:tcPr>
          <w:p w14:paraId="1BEE7311">
            <w:pPr>
              <w:spacing w:after="0" w:line="240" w:lineRule="auto"/>
              <w:jc w:val="center"/>
              <w:rPr>
                <w:rFonts w:hint="default" w:ascii="宋体" w:hAnsi="宋体" w:eastAsia="宋体" w:cs="宋体"/>
                <w:b/>
                <w:bCs/>
                <w:color w:val="auto"/>
                <w:kern w:val="0"/>
                <w:sz w:val="24"/>
                <w:szCs w:val="24"/>
                <w:highlight w:val="none"/>
                <w:vertAlign w:val="baseline"/>
                <w:lang w:val="en-US" w:eastAsia="zh-CN"/>
              </w:rPr>
            </w:pPr>
            <w:r>
              <w:rPr>
                <w:rFonts w:hint="eastAsia"/>
                <w:b/>
                <w:bCs/>
                <w:color w:val="auto"/>
                <w:highlight w:val="none"/>
              </w:rPr>
              <w:t>数量</w:t>
            </w:r>
          </w:p>
        </w:tc>
        <w:tc>
          <w:tcPr>
            <w:tcW w:w="1461" w:type="dxa"/>
            <w:vAlign w:val="center"/>
          </w:tcPr>
          <w:p w14:paraId="034B238F">
            <w:pPr>
              <w:spacing w:after="0"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单价（元）</w:t>
            </w:r>
          </w:p>
        </w:tc>
        <w:tc>
          <w:tcPr>
            <w:tcW w:w="1685" w:type="dxa"/>
            <w:vAlign w:val="center"/>
          </w:tcPr>
          <w:p w14:paraId="72199E24">
            <w:pPr>
              <w:spacing w:after="0"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合价（元）</w:t>
            </w:r>
          </w:p>
        </w:tc>
        <w:tc>
          <w:tcPr>
            <w:tcW w:w="796" w:type="dxa"/>
            <w:vAlign w:val="center"/>
          </w:tcPr>
          <w:p w14:paraId="0325F452">
            <w:pPr>
              <w:spacing w:after="0" w:line="240" w:lineRule="auto"/>
              <w:jc w:val="center"/>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备注</w:t>
            </w:r>
          </w:p>
        </w:tc>
      </w:tr>
      <w:tr w14:paraId="2DC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6D4472E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258B669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163ABD8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3CAC734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2525631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1737F1EB">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14508BF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094726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683A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212681C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1D7A425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64929BF8">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505948A8">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25055F1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316C542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05B225D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D9C6FC7">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43D8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7597911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04A3806B">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4F87FFAB">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4221AD8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189E9F2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074B42B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7107E5C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A9ACDB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72A1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2A85756F">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32E9649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465C9C4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73DB2F0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05F6903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46B8A3D7">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19790D4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6EE3566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7DE0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0D1BF55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0BE69DF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0AFDD0B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30BB83F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0D3373F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754F616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4BE7162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E6DC55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2CFA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16B805A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1633FC8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778A8D5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110B028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7AC8E02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4BCDFB7B">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04662F5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1795F80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344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07639A97">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1BD2E97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76878CB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55DFEC7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4560B5B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09A2C54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536A547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04AFEA6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5CFB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4DFF2B5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1B499FA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4BA9308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452F960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26F6AF9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1233CCA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6BDAF4E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787014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1DFA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6033EA5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549697A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443CE4FF">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15B77BE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3AC469C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4C446D6B">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26D9559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39109B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23F0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2AAFA49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013BC56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30235A28">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09C355D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2244007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3E052F6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75958FD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6007E54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7847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04F6FB87">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335B6F5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29A1819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6F581B4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454EDE07">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322E612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2582071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AAF051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0350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20DD4D7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044013A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0E6ABD0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1D51DB69">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7DBF693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74B3CE8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70E6BF6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33D05D99">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39F8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6EA2055D">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552F0F3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062ED94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19AB83EF">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6522167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5DC5EFB5">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798C90BF">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3788359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2E56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5ACCFB58">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326294A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29BC0DF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75EA43C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4CC9671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1B0FF234">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320DB910">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4D53FF0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1DA4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vAlign w:val="center"/>
          </w:tcPr>
          <w:p w14:paraId="6EEC37D1">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990" w:type="dxa"/>
            <w:vAlign w:val="center"/>
          </w:tcPr>
          <w:p w14:paraId="5C3DCADE">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990" w:type="dxa"/>
            <w:vAlign w:val="center"/>
          </w:tcPr>
          <w:p w14:paraId="309F2969">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647" w:type="dxa"/>
            <w:vAlign w:val="center"/>
          </w:tcPr>
          <w:p w14:paraId="744B78E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84" w:type="dxa"/>
            <w:vAlign w:val="center"/>
          </w:tcPr>
          <w:p w14:paraId="6F5AE8A6">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461" w:type="dxa"/>
            <w:vAlign w:val="center"/>
          </w:tcPr>
          <w:p w14:paraId="0DF90B2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1685" w:type="dxa"/>
            <w:vAlign w:val="center"/>
          </w:tcPr>
          <w:p w14:paraId="74295109">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3A1F1623">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r w14:paraId="1760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546" w:type="dxa"/>
            <w:gridSpan w:val="6"/>
            <w:vAlign w:val="center"/>
          </w:tcPr>
          <w:p w14:paraId="32510192">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r>
              <w:rPr>
                <w:rFonts w:hint="eastAsia" w:ascii="宋体" w:hAnsi="宋体" w:cs="宋体"/>
                <w:b/>
                <w:bCs/>
                <w:color w:val="auto"/>
                <w:kern w:val="0"/>
                <w:sz w:val="24"/>
                <w:szCs w:val="24"/>
                <w:highlight w:val="none"/>
                <w:vertAlign w:val="baseline"/>
                <w:lang w:val="en-US" w:eastAsia="zh-CN"/>
              </w:rPr>
              <w:t>合计总价（元）</w:t>
            </w:r>
          </w:p>
        </w:tc>
        <w:tc>
          <w:tcPr>
            <w:tcW w:w="1685" w:type="dxa"/>
            <w:vAlign w:val="center"/>
          </w:tcPr>
          <w:p w14:paraId="1629CFFA">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c>
          <w:tcPr>
            <w:tcW w:w="796" w:type="dxa"/>
            <w:vAlign w:val="center"/>
          </w:tcPr>
          <w:p w14:paraId="2107012C">
            <w:pPr>
              <w:pStyle w:val="22"/>
              <w:adjustRightInd w:val="0"/>
              <w:snapToGrid w:val="0"/>
              <w:spacing w:line="360" w:lineRule="auto"/>
              <w:jc w:val="left"/>
              <w:textAlignment w:val="baseline"/>
              <w:rPr>
                <w:rFonts w:hint="default" w:ascii="宋体" w:hAnsi="宋体" w:eastAsia="宋体" w:cs="宋体"/>
                <w:b/>
                <w:bCs/>
                <w:color w:val="auto"/>
                <w:kern w:val="0"/>
                <w:sz w:val="24"/>
                <w:szCs w:val="24"/>
                <w:highlight w:val="none"/>
                <w:vertAlign w:val="baseline"/>
                <w:lang w:val="en-US" w:eastAsia="zh-CN"/>
              </w:rPr>
            </w:pPr>
          </w:p>
        </w:tc>
      </w:tr>
    </w:tbl>
    <w:p w14:paraId="1A138A5B">
      <w:pPr>
        <w:adjustRightInd w:val="0"/>
        <w:snapToGrid w:val="0"/>
        <w:spacing w:line="360" w:lineRule="auto"/>
        <w:ind w:firstLine="480" w:firstLineChars="200"/>
        <w:textAlignment w:val="baseline"/>
        <w:rPr>
          <w:rFonts w:hint="eastAsia" w:ascii="宋体" w:hAnsi="宋体" w:cs="宋体"/>
          <w:color w:val="auto"/>
          <w:kern w:val="0"/>
          <w:sz w:val="24"/>
          <w:highlight w:val="none"/>
        </w:rPr>
      </w:pPr>
    </w:p>
    <w:p w14:paraId="341CED5F">
      <w:pPr>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投标人：(盖单位章)</w:t>
      </w:r>
    </w:p>
    <w:p w14:paraId="617450D7">
      <w:pPr>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法定代表人：(签字或印章)</w:t>
      </w:r>
    </w:p>
    <w:p w14:paraId="7624B62D">
      <w:pPr>
        <w:pStyle w:val="22"/>
        <w:adjustRightInd w:val="0"/>
        <w:snapToGrid w:val="0"/>
        <w:spacing w:line="360" w:lineRule="auto"/>
        <w:ind w:left="0" w:firstLine="480" w:firstLineChars="200"/>
        <w:jc w:val="left"/>
        <w:textAlignment w:val="baseline"/>
        <w:rPr>
          <w:rFonts w:hint="default" w:ascii="宋体" w:hAnsi="宋体" w:eastAsia="宋体" w:cs="宋体"/>
          <w:b/>
          <w:bCs/>
          <w:color w:val="auto"/>
          <w:kern w:val="0"/>
          <w:sz w:val="24"/>
          <w:szCs w:val="24"/>
          <w:highlight w:val="none"/>
          <w:lang w:val="en-US" w:eastAsia="zh-CN"/>
        </w:rPr>
      </w:pPr>
      <w:r>
        <w:rPr>
          <w:rFonts w:hint="eastAsia" w:ascii="宋体" w:hAnsi="宋体" w:cs="宋体"/>
          <w:color w:val="auto"/>
          <w:kern w:val="0"/>
          <w:sz w:val="24"/>
          <w:highlight w:val="none"/>
        </w:rPr>
        <w:t>日期：  年  月  日</w:t>
      </w:r>
    </w:p>
    <w:p w14:paraId="2AC4982C">
      <w:pPr>
        <w:widowControl/>
        <w:topLinePunct/>
        <w:adjustRightInd w:val="0"/>
        <w:snapToGrid w:val="0"/>
        <w:spacing w:line="360" w:lineRule="auto"/>
        <w:jc w:val="left"/>
        <w:rPr>
          <w:rFonts w:ascii="宋体" w:hAnsi="宋体" w:cs="宋体"/>
          <w:b/>
          <w:bCs/>
          <w:color w:val="auto"/>
          <w:kern w:val="0"/>
          <w:sz w:val="24"/>
          <w:szCs w:val="24"/>
          <w:highlight w:val="none"/>
        </w:rPr>
      </w:pPr>
    </w:p>
    <w:p w14:paraId="06C2761A">
      <w:pPr>
        <w:widowControl/>
        <w:topLinePunct/>
        <w:adjustRightInd w:val="0"/>
        <w:snapToGrid w:val="0"/>
        <w:spacing w:line="360" w:lineRule="auto"/>
        <w:jc w:val="left"/>
        <w:rPr>
          <w:rFonts w:ascii="宋体" w:hAnsi="宋体" w:cs="宋体"/>
          <w:b/>
          <w:bCs/>
          <w:color w:val="auto"/>
          <w:kern w:val="0"/>
          <w:sz w:val="24"/>
          <w:szCs w:val="24"/>
          <w:highlight w:val="none"/>
        </w:rPr>
      </w:pPr>
    </w:p>
    <w:p w14:paraId="7A1DFFC4">
      <w:pPr>
        <w:rPr>
          <w:rFonts w:ascii="宋体" w:hAnsi="宋体" w:cs="宋体"/>
          <w:b/>
          <w:bCs/>
          <w:color w:val="auto"/>
          <w:kern w:val="0"/>
          <w:sz w:val="24"/>
          <w:szCs w:val="24"/>
          <w:highlight w:val="none"/>
        </w:rPr>
      </w:pPr>
      <w:r>
        <w:rPr>
          <w:rFonts w:ascii="宋体" w:hAnsi="宋体" w:cs="宋体"/>
          <w:b/>
          <w:bCs/>
          <w:color w:val="auto"/>
          <w:kern w:val="0"/>
          <w:sz w:val="24"/>
          <w:szCs w:val="24"/>
          <w:highlight w:val="none"/>
        </w:rPr>
        <w:br w:type="page"/>
      </w:r>
    </w:p>
    <w:p w14:paraId="0D5D02C7">
      <w:pPr>
        <w:widowControl/>
        <w:adjustRightInd w:val="0"/>
        <w:snapToGrid w:val="0"/>
        <w:spacing w:line="360" w:lineRule="auto"/>
        <w:jc w:val="center"/>
        <w:outlineLvl w:val="1"/>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10</w:t>
      </w:r>
      <w:r>
        <w:rPr>
          <w:rFonts w:hint="eastAsia" w:ascii="宋体" w:hAnsi="宋体" w:cs="宋体"/>
          <w:b/>
          <w:color w:val="auto"/>
          <w:kern w:val="0"/>
          <w:sz w:val="24"/>
          <w:szCs w:val="24"/>
          <w:highlight w:val="none"/>
        </w:rPr>
        <w:t>、主要材料品牌一览表</w:t>
      </w:r>
    </w:p>
    <w:tbl>
      <w:tblPr>
        <w:tblStyle w:val="47"/>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724"/>
        <w:gridCol w:w="989"/>
        <w:gridCol w:w="1256"/>
        <w:gridCol w:w="1180"/>
        <w:gridCol w:w="1800"/>
        <w:gridCol w:w="1800"/>
      </w:tblGrid>
      <w:tr w14:paraId="708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noWrap w:val="0"/>
            <w:vAlign w:val="center"/>
          </w:tcPr>
          <w:p w14:paraId="25A72E23">
            <w:pPr>
              <w:rPr>
                <w:rFonts w:ascii="宋体" w:hAnsi="宋体" w:cs="宋体"/>
                <w:b/>
                <w:bCs/>
                <w:color w:val="auto"/>
                <w:sz w:val="24"/>
                <w:highlight w:val="none"/>
              </w:rPr>
            </w:pPr>
            <w:r>
              <w:rPr>
                <w:rFonts w:hint="eastAsia" w:ascii="宋体" w:hAnsi="宋体" w:cs="宋体"/>
                <w:b/>
                <w:color w:val="auto"/>
                <w:kern w:val="0"/>
                <w:sz w:val="24"/>
                <w:szCs w:val="24"/>
                <w:highlight w:val="none"/>
              </w:rPr>
              <w:br w:type="page"/>
            </w:r>
            <w:r>
              <w:rPr>
                <w:rFonts w:hint="eastAsia" w:ascii="宋体" w:hAnsi="宋体" w:cs="宋体"/>
                <w:b/>
                <w:bCs/>
                <w:color w:val="auto"/>
                <w:sz w:val="24"/>
                <w:highlight w:val="none"/>
              </w:rPr>
              <w:t>序号</w:t>
            </w:r>
          </w:p>
        </w:tc>
        <w:tc>
          <w:tcPr>
            <w:tcW w:w="724" w:type="dxa"/>
            <w:noWrap w:val="0"/>
            <w:vAlign w:val="center"/>
          </w:tcPr>
          <w:p w14:paraId="723564D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名称</w:t>
            </w:r>
          </w:p>
        </w:tc>
        <w:tc>
          <w:tcPr>
            <w:tcW w:w="989" w:type="dxa"/>
            <w:noWrap w:val="0"/>
            <w:vAlign w:val="center"/>
          </w:tcPr>
          <w:p w14:paraId="34B0BFA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品牌</w:t>
            </w:r>
          </w:p>
        </w:tc>
        <w:tc>
          <w:tcPr>
            <w:tcW w:w="1256" w:type="dxa"/>
            <w:noWrap w:val="0"/>
            <w:vAlign w:val="center"/>
          </w:tcPr>
          <w:p w14:paraId="1BD58CBE">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生产厂家</w:t>
            </w:r>
          </w:p>
        </w:tc>
        <w:tc>
          <w:tcPr>
            <w:tcW w:w="1180" w:type="dxa"/>
            <w:noWrap w:val="0"/>
            <w:vAlign w:val="center"/>
          </w:tcPr>
          <w:p w14:paraId="159977B7">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pacing w:val="0"/>
                <w:w w:val="100"/>
                <w:kern w:val="0"/>
                <w:sz w:val="24"/>
                <w:szCs w:val="24"/>
                <w:highlight w:val="none"/>
                <w:lang w:val="en-US" w:eastAsia="zh-CN"/>
              </w:rPr>
              <w:t>产地</w:t>
            </w:r>
          </w:p>
        </w:tc>
        <w:tc>
          <w:tcPr>
            <w:tcW w:w="1800" w:type="dxa"/>
            <w:noWrap w:val="0"/>
            <w:vAlign w:val="center"/>
          </w:tcPr>
          <w:p w14:paraId="5E2849F1">
            <w:pPr>
              <w:spacing w:line="360" w:lineRule="auto"/>
              <w:jc w:val="center"/>
              <w:rPr>
                <w:rFonts w:hint="default"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技术参数</w:t>
            </w:r>
          </w:p>
        </w:tc>
        <w:tc>
          <w:tcPr>
            <w:tcW w:w="1800" w:type="dxa"/>
            <w:noWrap w:val="0"/>
            <w:vAlign w:val="center"/>
          </w:tcPr>
          <w:p w14:paraId="1ED042A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249A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75C389B7">
            <w:pPr>
              <w:spacing w:line="360" w:lineRule="auto"/>
              <w:jc w:val="center"/>
              <w:rPr>
                <w:rFonts w:hint="eastAsia" w:ascii="宋体" w:hAnsi="宋体" w:eastAsia="宋体" w:cs="宋体"/>
                <w:color w:val="auto"/>
                <w:sz w:val="24"/>
                <w:highlight w:val="none"/>
                <w:lang w:val="en-US" w:eastAsia="zh-CN"/>
              </w:rPr>
            </w:pPr>
          </w:p>
        </w:tc>
        <w:tc>
          <w:tcPr>
            <w:tcW w:w="724" w:type="dxa"/>
            <w:noWrap w:val="0"/>
            <w:vAlign w:val="center"/>
          </w:tcPr>
          <w:p w14:paraId="103AD74A">
            <w:pPr>
              <w:spacing w:line="360" w:lineRule="auto"/>
              <w:jc w:val="center"/>
              <w:rPr>
                <w:rFonts w:hint="eastAsia" w:ascii="宋体" w:hAnsi="宋体" w:eastAsia="宋体" w:cs="宋体"/>
                <w:color w:val="auto"/>
                <w:sz w:val="24"/>
                <w:highlight w:val="none"/>
                <w:lang w:val="en-US" w:eastAsia="zh-CN"/>
              </w:rPr>
            </w:pPr>
          </w:p>
        </w:tc>
        <w:tc>
          <w:tcPr>
            <w:tcW w:w="989" w:type="dxa"/>
            <w:noWrap w:val="0"/>
            <w:vAlign w:val="center"/>
          </w:tcPr>
          <w:p w14:paraId="74439372">
            <w:pPr>
              <w:spacing w:line="360" w:lineRule="auto"/>
              <w:jc w:val="center"/>
              <w:rPr>
                <w:rFonts w:hint="default" w:ascii="宋体" w:hAnsi="宋体" w:eastAsia="宋体" w:cs="宋体"/>
                <w:color w:val="auto"/>
                <w:sz w:val="24"/>
                <w:highlight w:val="none"/>
                <w:lang w:val="en-US" w:eastAsia="zh-CN"/>
              </w:rPr>
            </w:pPr>
          </w:p>
        </w:tc>
        <w:tc>
          <w:tcPr>
            <w:tcW w:w="1256" w:type="dxa"/>
            <w:noWrap w:val="0"/>
            <w:vAlign w:val="center"/>
          </w:tcPr>
          <w:p w14:paraId="1DA65171">
            <w:pPr>
              <w:spacing w:line="360" w:lineRule="auto"/>
              <w:jc w:val="center"/>
              <w:rPr>
                <w:rFonts w:ascii="宋体" w:hAnsi="宋体" w:cs="宋体"/>
                <w:color w:val="auto"/>
                <w:sz w:val="24"/>
                <w:highlight w:val="none"/>
              </w:rPr>
            </w:pPr>
          </w:p>
        </w:tc>
        <w:tc>
          <w:tcPr>
            <w:tcW w:w="1180" w:type="dxa"/>
            <w:noWrap w:val="0"/>
            <w:vAlign w:val="center"/>
          </w:tcPr>
          <w:p w14:paraId="55E912EC">
            <w:pPr>
              <w:spacing w:line="360" w:lineRule="auto"/>
              <w:jc w:val="center"/>
              <w:rPr>
                <w:rFonts w:ascii="宋体" w:hAnsi="宋体" w:cs="宋体"/>
                <w:color w:val="auto"/>
                <w:sz w:val="24"/>
                <w:highlight w:val="none"/>
              </w:rPr>
            </w:pPr>
          </w:p>
        </w:tc>
        <w:tc>
          <w:tcPr>
            <w:tcW w:w="1800" w:type="dxa"/>
            <w:noWrap w:val="0"/>
            <w:vAlign w:val="center"/>
          </w:tcPr>
          <w:p w14:paraId="069BC4E4">
            <w:pPr>
              <w:spacing w:line="360" w:lineRule="auto"/>
              <w:jc w:val="center"/>
              <w:rPr>
                <w:rFonts w:ascii="宋体" w:hAnsi="宋体" w:cs="宋体"/>
                <w:color w:val="auto"/>
                <w:sz w:val="24"/>
                <w:highlight w:val="none"/>
              </w:rPr>
            </w:pPr>
          </w:p>
        </w:tc>
        <w:tc>
          <w:tcPr>
            <w:tcW w:w="1800" w:type="dxa"/>
            <w:noWrap w:val="0"/>
            <w:vAlign w:val="center"/>
          </w:tcPr>
          <w:p w14:paraId="3AF0F754">
            <w:pPr>
              <w:spacing w:line="360" w:lineRule="auto"/>
              <w:jc w:val="center"/>
              <w:rPr>
                <w:rFonts w:ascii="宋体" w:hAnsi="宋体" w:cs="宋体"/>
                <w:color w:val="auto"/>
                <w:sz w:val="24"/>
                <w:highlight w:val="none"/>
              </w:rPr>
            </w:pPr>
          </w:p>
        </w:tc>
      </w:tr>
      <w:tr w14:paraId="3B54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0A64F261">
            <w:pPr>
              <w:spacing w:line="360" w:lineRule="auto"/>
              <w:jc w:val="center"/>
              <w:rPr>
                <w:rFonts w:hint="eastAsia" w:ascii="宋体" w:hAnsi="宋体" w:eastAsia="宋体" w:cs="宋体"/>
                <w:color w:val="auto"/>
                <w:sz w:val="24"/>
                <w:highlight w:val="none"/>
                <w:lang w:val="en-US" w:eastAsia="zh-CN"/>
              </w:rPr>
            </w:pPr>
          </w:p>
        </w:tc>
        <w:tc>
          <w:tcPr>
            <w:tcW w:w="724" w:type="dxa"/>
            <w:noWrap w:val="0"/>
            <w:vAlign w:val="center"/>
          </w:tcPr>
          <w:p w14:paraId="1324C321">
            <w:pPr>
              <w:spacing w:line="360" w:lineRule="auto"/>
              <w:jc w:val="center"/>
              <w:rPr>
                <w:rFonts w:hint="eastAsia" w:ascii="宋体" w:hAnsi="宋体" w:eastAsia="宋体" w:cs="宋体"/>
                <w:color w:val="auto"/>
                <w:sz w:val="24"/>
                <w:highlight w:val="none"/>
                <w:lang w:val="en-US" w:eastAsia="zh-CN"/>
              </w:rPr>
            </w:pPr>
          </w:p>
        </w:tc>
        <w:tc>
          <w:tcPr>
            <w:tcW w:w="989" w:type="dxa"/>
            <w:noWrap w:val="0"/>
            <w:vAlign w:val="center"/>
          </w:tcPr>
          <w:p w14:paraId="0EEB2E61">
            <w:pPr>
              <w:spacing w:line="360" w:lineRule="auto"/>
              <w:jc w:val="center"/>
              <w:rPr>
                <w:rFonts w:ascii="宋体" w:hAnsi="宋体" w:cs="宋体"/>
                <w:color w:val="auto"/>
                <w:sz w:val="24"/>
                <w:highlight w:val="none"/>
              </w:rPr>
            </w:pPr>
          </w:p>
        </w:tc>
        <w:tc>
          <w:tcPr>
            <w:tcW w:w="1256" w:type="dxa"/>
            <w:noWrap w:val="0"/>
            <w:vAlign w:val="center"/>
          </w:tcPr>
          <w:p w14:paraId="37922CC8">
            <w:pPr>
              <w:spacing w:line="360" w:lineRule="auto"/>
              <w:jc w:val="center"/>
              <w:rPr>
                <w:rFonts w:ascii="宋体" w:hAnsi="宋体" w:cs="宋体"/>
                <w:color w:val="auto"/>
                <w:sz w:val="24"/>
                <w:highlight w:val="none"/>
              </w:rPr>
            </w:pPr>
          </w:p>
        </w:tc>
        <w:tc>
          <w:tcPr>
            <w:tcW w:w="1180" w:type="dxa"/>
            <w:noWrap w:val="0"/>
            <w:vAlign w:val="center"/>
          </w:tcPr>
          <w:p w14:paraId="5D379E24">
            <w:pPr>
              <w:spacing w:line="360" w:lineRule="auto"/>
              <w:jc w:val="center"/>
              <w:rPr>
                <w:rFonts w:ascii="宋体" w:hAnsi="宋体" w:cs="宋体"/>
                <w:color w:val="auto"/>
                <w:sz w:val="24"/>
                <w:highlight w:val="none"/>
              </w:rPr>
            </w:pPr>
          </w:p>
        </w:tc>
        <w:tc>
          <w:tcPr>
            <w:tcW w:w="1800" w:type="dxa"/>
            <w:noWrap w:val="0"/>
            <w:vAlign w:val="center"/>
          </w:tcPr>
          <w:p w14:paraId="25884996">
            <w:pPr>
              <w:spacing w:line="360" w:lineRule="auto"/>
              <w:jc w:val="center"/>
              <w:rPr>
                <w:rFonts w:ascii="宋体" w:hAnsi="宋体" w:cs="宋体"/>
                <w:color w:val="auto"/>
                <w:sz w:val="24"/>
                <w:highlight w:val="none"/>
              </w:rPr>
            </w:pPr>
          </w:p>
        </w:tc>
        <w:tc>
          <w:tcPr>
            <w:tcW w:w="1800" w:type="dxa"/>
            <w:noWrap w:val="0"/>
            <w:vAlign w:val="center"/>
          </w:tcPr>
          <w:p w14:paraId="20EAEE41">
            <w:pPr>
              <w:spacing w:line="360" w:lineRule="auto"/>
              <w:jc w:val="center"/>
              <w:rPr>
                <w:rFonts w:ascii="宋体" w:hAnsi="宋体" w:cs="宋体"/>
                <w:color w:val="auto"/>
                <w:sz w:val="24"/>
                <w:highlight w:val="none"/>
              </w:rPr>
            </w:pPr>
          </w:p>
        </w:tc>
      </w:tr>
      <w:tr w14:paraId="05A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22E3CD05">
            <w:pPr>
              <w:spacing w:line="360" w:lineRule="auto"/>
              <w:jc w:val="center"/>
              <w:rPr>
                <w:rFonts w:hint="eastAsia" w:ascii="宋体" w:hAnsi="宋体" w:eastAsia="宋体" w:cs="宋体"/>
                <w:color w:val="auto"/>
                <w:sz w:val="24"/>
                <w:highlight w:val="none"/>
                <w:lang w:val="en-US" w:eastAsia="zh-CN"/>
              </w:rPr>
            </w:pPr>
          </w:p>
        </w:tc>
        <w:tc>
          <w:tcPr>
            <w:tcW w:w="724" w:type="dxa"/>
            <w:noWrap w:val="0"/>
            <w:vAlign w:val="center"/>
          </w:tcPr>
          <w:p w14:paraId="031503C7">
            <w:pPr>
              <w:spacing w:line="360" w:lineRule="auto"/>
              <w:jc w:val="center"/>
              <w:rPr>
                <w:rFonts w:hint="eastAsia" w:ascii="宋体" w:hAnsi="宋体" w:eastAsia="宋体" w:cs="宋体"/>
                <w:color w:val="auto"/>
                <w:sz w:val="24"/>
                <w:highlight w:val="none"/>
                <w:lang w:val="en-US" w:eastAsia="zh-CN"/>
              </w:rPr>
            </w:pPr>
          </w:p>
        </w:tc>
        <w:tc>
          <w:tcPr>
            <w:tcW w:w="989" w:type="dxa"/>
            <w:noWrap w:val="0"/>
            <w:vAlign w:val="center"/>
          </w:tcPr>
          <w:p w14:paraId="3369E903">
            <w:pPr>
              <w:spacing w:line="360" w:lineRule="auto"/>
              <w:jc w:val="center"/>
              <w:rPr>
                <w:rFonts w:hint="default" w:ascii="宋体" w:hAnsi="宋体" w:eastAsia="宋体" w:cs="宋体"/>
                <w:color w:val="auto"/>
                <w:sz w:val="24"/>
                <w:highlight w:val="none"/>
                <w:lang w:val="en-US" w:eastAsia="zh-CN"/>
              </w:rPr>
            </w:pPr>
          </w:p>
        </w:tc>
        <w:tc>
          <w:tcPr>
            <w:tcW w:w="1256" w:type="dxa"/>
            <w:noWrap w:val="0"/>
            <w:vAlign w:val="center"/>
          </w:tcPr>
          <w:p w14:paraId="1206F8BB">
            <w:pPr>
              <w:spacing w:line="360" w:lineRule="auto"/>
              <w:jc w:val="center"/>
              <w:rPr>
                <w:rFonts w:ascii="宋体" w:hAnsi="宋体" w:cs="宋体"/>
                <w:color w:val="auto"/>
                <w:sz w:val="24"/>
                <w:highlight w:val="none"/>
              </w:rPr>
            </w:pPr>
          </w:p>
        </w:tc>
        <w:tc>
          <w:tcPr>
            <w:tcW w:w="1180" w:type="dxa"/>
            <w:noWrap w:val="0"/>
            <w:vAlign w:val="center"/>
          </w:tcPr>
          <w:p w14:paraId="3FC16646">
            <w:pPr>
              <w:spacing w:line="360" w:lineRule="auto"/>
              <w:jc w:val="center"/>
              <w:rPr>
                <w:rFonts w:ascii="宋体" w:hAnsi="宋体" w:cs="宋体"/>
                <w:color w:val="auto"/>
                <w:sz w:val="24"/>
                <w:highlight w:val="none"/>
              </w:rPr>
            </w:pPr>
          </w:p>
        </w:tc>
        <w:tc>
          <w:tcPr>
            <w:tcW w:w="1800" w:type="dxa"/>
            <w:noWrap w:val="0"/>
            <w:vAlign w:val="center"/>
          </w:tcPr>
          <w:p w14:paraId="1B806DAE">
            <w:pPr>
              <w:spacing w:line="360" w:lineRule="auto"/>
              <w:jc w:val="center"/>
              <w:rPr>
                <w:rFonts w:ascii="宋体" w:hAnsi="宋体" w:cs="宋体"/>
                <w:color w:val="auto"/>
                <w:sz w:val="24"/>
                <w:highlight w:val="none"/>
              </w:rPr>
            </w:pPr>
          </w:p>
        </w:tc>
        <w:tc>
          <w:tcPr>
            <w:tcW w:w="1800" w:type="dxa"/>
            <w:noWrap w:val="0"/>
            <w:vAlign w:val="center"/>
          </w:tcPr>
          <w:p w14:paraId="6386AA82">
            <w:pPr>
              <w:spacing w:line="360" w:lineRule="auto"/>
              <w:jc w:val="center"/>
              <w:rPr>
                <w:rFonts w:ascii="宋体" w:hAnsi="宋体" w:cs="宋体"/>
                <w:color w:val="auto"/>
                <w:sz w:val="24"/>
                <w:highlight w:val="none"/>
              </w:rPr>
            </w:pPr>
          </w:p>
        </w:tc>
      </w:tr>
      <w:tr w14:paraId="7ED3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1F9DB38A">
            <w:pPr>
              <w:spacing w:line="360" w:lineRule="auto"/>
              <w:jc w:val="center"/>
              <w:rPr>
                <w:rFonts w:hint="eastAsia" w:ascii="宋体" w:hAnsi="宋体" w:eastAsia="宋体" w:cs="宋体"/>
                <w:color w:val="auto"/>
                <w:sz w:val="24"/>
                <w:highlight w:val="none"/>
                <w:lang w:val="en-US" w:eastAsia="zh-CN"/>
              </w:rPr>
            </w:pPr>
          </w:p>
        </w:tc>
        <w:tc>
          <w:tcPr>
            <w:tcW w:w="724" w:type="dxa"/>
            <w:noWrap w:val="0"/>
            <w:vAlign w:val="center"/>
          </w:tcPr>
          <w:p w14:paraId="68B2370C">
            <w:pPr>
              <w:spacing w:line="360" w:lineRule="auto"/>
              <w:jc w:val="center"/>
              <w:rPr>
                <w:rFonts w:hint="eastAsia" w:ascii="宋体" w:hAnsi="宋体" w:eastAsia="宋体" w:cs="宋体"/>
                <w:color w:val="auto"/>
                <w:sz w:val="24"/>
                <w:highlight w:val="none"/>
                <w:lang w:val="en-US" w:eastAsia="zh-CN"/>
              </w:rPr>
            </w:pPr>
          </w:p>
        </w:tc>
        <w:tc>
          <w:tcPr>
            <w:tcW w:w="989" w:type="dxa"/>
            <w:noWrap w:val="0"/>
            <w:vAlign w:val="center"/>
          </w:tcPr>
          <w:p w14:paraId="1E39D12E">
            <w:pPr>
              <w:spacing w:line="360" w:lineRule="auto"/>
              <w:jc w:val="center"/>
              <w:rPr>
                <w:rFonts w:ascii="宋体" w:hAnsi="宋体" w:cs="宋体"/>
                <w:color w:val="auto"/>
                <w:sz w:val="24"/>
                <w:highlight w:val="none"/>
              </w:rPr>
            </w:pPr>
          </w:p>
        </w:tc>
        <w:tc>
          <w:tcPr>
            <w:tcW w:w="1256" w:type="dxa"/>
            <w:noWrap w:val="0"/>
            <w:vAlign w:val="center"/>
          </w:tcPr>
          <w:p w14:paraId="056257EA">
            <w:pPr>
              <w:spacing w:line="360" w:lineRule="auto"/>
              <w:jc w:val="center"/>
              <w:rPr>
                <w:rFonts w:ascii="宋体" w:hAnsi="宋体" w:cs="宋体"/>
                <w:color w:val="auto"/>
                <w:sz w:val="24"/>
                <w:highlight w:val="none"/>
              </w:rPr>
            </w:pPr>
          </w:p>
        </w:tc>
        <w:tc>
          <w:tcPr>
            <w:tcW w:w="1180" w:type="dxa"/>
            <w:noWrap w:val="0"/>
            <w:vAlign w:val="center"/>
          </w:tcPr>
          <w:p w14:paraId="027F51DB">
            <w:pPr>
              <w:spacing w:line="360" w:lineRule="auto"/>
              <w:jc w:val="center"/>
              <w:rPr>
                <w:rFonts w:ascii="宋体" w:hAnsi="宋体" w:cs="宋体"/>
                <w:color w:val="auto"/>
                <w:sz w:val="24"/>
                <w:highlight w:val="none"/>
              </w:rPr>
            </w:pPr>
          </w:p>
        </w:tc>
        <w:tc>
          <w:tcPr>
            <w:tcW w:w="1800" w:type="dxa"/>
            <w:noWrap w:val="0"/>
            <w:vAlign w:val="center"/>
          </w:tcPr>
          <w:p w14:paraId="3BBC02B8">
            <w:pPr>
              <w:spacing w:line="360" w:lineRule="auto"/>
              <w:jc w:val="center"/>
              <w:rPr>
                <w:rFonts w:ascii="宋体" w:hAnsi="宋体" w:cs="宋体"/>
                <w:color w:val="auto"/>
                <w:sz w:val="24"/>
                <w:highlight w:val="none"/>
              </w:rPr>
            </w:pPr>
          </w:p>
        </w:tc>
        <w:tc>
          <w:tcPr>
            <w:tcW w:w="1800" w:type="dxa"/>
            <w:noWrap w:val="0"/>
            <w:vAlign w:val="center"/>
          </w:tcPr>
          <w:p w14:paraId="517ED5F0">
            <w:pPr>
              <w:spacing w:line="360" w:lineRule="auto"/>
              <w:jc w:val="center"/>
              <w:rPr>
                <w:rFonts w:ascii="宋体" w:hAnsi="宋体" w:cs="宋体"/>
                <w:color w:val="auto"/>
                <w:sz w:val="24"/>
                <w:highlight w:val="none"/>
              </w:rPr>
            </w:pPr>
          </w:p>
        </w:tc>
      </w:tr>
      <w:tr w14:paraId="0F1F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752A76D4">
            <w:pPr>
              <w:spacing w:line="360" w:lineRule="auto"/>
              <w:jc w:val="center"/>
              <w:rPr>
                <w:rFonts w:hint="eastAsia" w:ascii="宋体" w:hAnsi="宋体" w:cs="宋体"/>
                <w:color w:val="auto"/>
                <w:sz w:val="24"/>
                <w:highlight w:val="none"/>
              </w:rPr>
            </w:pPr>
          </w:p>
        </w:tc>
        <w:tc>
          <w:tcPr>
            <w:tcW w:w="724" w:type="dxa"/>
            <w:noWrap w:val="0"/>
            <w:vAlign w:val="center"/>
          </w:tcPr>
          <w:p w14:paraId="0EFE15E7">
            <w:pPr>
              <w:spacing w:line="360" w:lineRule="auto"/>
              <w:jc w:val="center"/>
              <w:rPr>
                <w:rFonts w:ascii="宋体" w:hAnsi="宋体" w:cs="宋体"/>
                <w:color w:val="auto"/>
                <w:sz w:val="24"/>
                <w:highlight w:val="none"/>
              </w:rPr>
            </w:pPr>
          </w:p>
        </w:tc>
        <w:tc>
          <w:tcPr>
            <w:tcW w:w="989" w:type="dxa"/>
            <w:noWrap w:val="0"/>
            <w:vAlign w:val="center"/>
          </w:tcPr>
          <w:p w14:paraId="57112DAF">
            <w:pPr>
              <w:spacing w:line="360" w:lineRule="auto"/>
              <w:jc w:val="center"/>
              <w:rPr>
                <w:rFonts w:ascii="宋体" w:hAnsi="宋体" w:cs="宋体"/>
                <w:color w:val="auto"/>
                <w:sz w:val="24"/>
                <w:highlight w:val="none"/>
              </w:rPr>
            </w:pPr>
          </w:p>
        </w:tc>
        <w:tc>
          <w:tcPr>
            <w:tcW w:w="1256" w:type="dxa"/>
            <w:noWrap w:val="0"/>
            <w:vAlign w:val="center"/>
          </w:tcPr>
          <w:p w14:paraId="3CFBB2AF">
            <w:pPr>
              <w:spacing w:line="360" w:lineRule="auto"/>
              <w:jc w:val="center"/>
              <w:rPr>
                <w:rFonts w:ascii="宋体" w:hAnsi="宋体" w:cs="宋体"/>
                <w:color w:val="auto"/>
                <w:sz w:val="24"/>
                <w:highlight w:val="none"/>
              </w:rPr>
            </w:pPr>
          </w:p>
        </w:tc>
        <w:tc>
          <w:tcPr>
            <w:tcW w:w="1180" w:type="dxa"/>
            <w:noWrap w:val="0"/>
            <w:vAlign w:val="center"/>
          </w:tcPr>
          <w:p w14:paraId="2809C50D">
            <w:pPr>
              <w:spacing w:line="360" w:lineRule="auto"/>
              <w:jc w:val="center"/>
              <w:rPr>
                <w:rFonts w:ascii="宋体" w:hAnsi="宋体" w:cs="宋体"/>
                <w:color w:val="auto"/>
                <w:sz w:val="24"/>
                <w:highlight w:val="none"/>
              </w:rPr>
            </w:pPr>
          </w:p>
        </w:tc>
        <w:tc>
          <w:tcPr>
            <w:tcW w:w="1800" w:type="dxa"/>
            <w:noWrap w:val="0"/>
            <w:vAlign w:val="center"/>
          </w:tcPr>
          <w:p w14:paraId="01D87301">
            <w:pPr>
              <w:spacing w:line="360" w:lineRule="auto"/>
              <w:jc w:val="center"/>
              <w:rPr>
                <w:rFonts w:ascii="宋体" w:hAnsi="宋体" w:cs="宋体"/>
                <w:color w:val="auto"/>
                <w:sz w:val="24"/>
                <w:highlight w:val="none"/>
              </w:rPr>
            </w:pPr>
          </w:p>
        </w:tc>
        <w:tc>
          <w:tcPr>
            <w:tcW w:w="1800" w:type="dxa"/>
            <w:noWrap w:val="0"/>
            <w:vAlign w:val="center"/>
          </w:tcPr>
          <w:p w14:paraId="46439E7B">
            <w:pPr>
              <w:spacing w:line="360" w:lineRule="auto"/>
              <w:jc w:val="center"/>
              <w:rPr>
                <w:rFonts w:ascii="宋体" w:hAnsi="宋体" w:cs="宋体"/>
                <w:color w:val="auto"/>
                <w:sz w:val="24"/>
                <w:highlight w:val="none"/>
              </w:rPr>
            </w:pPr>
          </w:p>
        </w:tc>
      </w:tr>
      <w:tr w14:paraId="5FE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447008DF">
            <w:pPr>
              <w:spacing w:line="360" w:lineRule="auto"/>
              <w:jc w:val="center"/>
              <w:rPr>
                <w:rFonts w:hint="eastAsia" w:ascii="宋体" w:hAnsi="宋体" w:cs="宋体"/>
                <w:color w:val="auto"/>
                <w:sz w:val="24"/>
                <w:highlight w:val="none"/>
              </w:rPr>
            </w:pPr>
          </w:p>
        </w:tc>
        <w:tc>
          <w:tcPr>
            <w:tcW w:w="724" w:type="dxa"/>
            <w:noWrap w:val="0"/>
            <w:vAlign w:val="center"/>
          </w:tcPr>
          <w:p w14:paraId="5492FA7E">
            <w:pPr>
              <w:spacing w:line="360" w:lineRule="auto"/>
              <w:jc w:val="center"/>
              <w:rPr>
                <w:rFonts w:ascii="宋体" w:hAnsi="宋体" w:cs="宋体"/>
                <w:color w:val="auto"/>
                <w:sz w:val="24"/>
                <w:highlight w:val="none"/>
              </w:rPr>
            </w:pPr>
          </w:p>
        </w:tc>
        <w:tc>
          <w:tcPr>
            <w:tcW w:w="989" w:type="dxa"/>
            <w:noWrap w:val="0"/>
            <w:vAlign w:val="center"/>
          </w:tcPr>
          <w:p w14:paraId="5013B695">
            <w:pPr>
              <w:spacing w:line="360" w:lineRule="auto"/>
              <w:jc w:val="center"/>
              <w:rPr>
                <w:rFonts w:ascii="宋体" w:hAnsi="宋体" w:cs="宋体"/>
                <w:color w:val="auto"/>
                <w:sz w:val="24"/>
                <w:highlight w:val="none"/>
              </w:rPr>
            </w:pPr>
          </w:p>
        </w:tc>
        <w:tc>
          <w:tcPr>
            <w:tcW w:w="1256" w:type="dxa"/>
            <w:noWrap w:val="0"/>
            <w:vAlign w:val="center"/>
          </w:tcPr>
          <w:p w14:paraId="6A5E854E">
            <w:pPr>
              <w:spacing w:line="360" w:lineRule="auto"/>
              <w:jc w:val="center"/>
              <w:rPr>
                <w:rFonts w:ascii="宋体" w:hAnsi="宋体" w:cs="宋体"/>
                <w:color w:val="auto"/>
                <w:sz w:val="24"/>
                <w:highlight w:val="none"/>
              </w:rPr>
            </w:pPr>
          </w:p>
        </w:tc>
        <w:tc>
          <w:tcPr>
            <w:tcW w:w="1180" w:type="dxa"/>
            <w:noWrap w:val="0"/>
            <w:vAlign w:val="center"/>
          </w:tcPr>
          <w:p w14:paraId="31BB54EC">
            <w:pPr>
              <w:spacing w:line="360" w:lineRule="auto"/>
              <w:jc w:val="center"/>
              <w:rPr>
                <w:rFonts w:ascii="宋体" w:hAnsi="宋体" w:cs="宋体"/>
                <w:color w:val="auto"/>
                <w:sz w:val="24"/>
                <w:highlight w:val="none"/>
              </w:rPr>
            </w:pPr>
          </w:p>
        </w:tc>
        <w:tc>
          <w:tcPr>
            <w:tcW w:w="1800" w:type="dxa"/>
            <w:noWrap w:val="0"/>
            <w:vAlign w:val="center"/>
          </w:tcPr>
          <w:p w14:paraId="70C2B50B">
            <w:pPr>
              <w:spacing w:line="360" w:lineRule="auto"/>
              <w:jc w:val="center"/>
              <w:rPr>
                <w:rFonts w:ascii="宋体" w:hAnsi="宋体" w:cs="宋体"/>
                <w:color w:val="auto"/>
                <w:sz w:val="24"/>
                <w:highlight w:val="none"/>
              </w:rPr>
            </w:pPr>
          </w:p>
        </w:tc>
        <w:tc>
          <w:tcPr>
            <w:tcW w:w="1800" w:type="dxa"/>
            <w:noWrap w:val="0"/>
            <w:vAlign w:val="center"/>
          </w:tcPr>
          <w:p w14:paraId="242121E4">
            <w:pPr>
              <w:spacing w:line="360" w:lineRule="auto"/>
              <w:jc w:val="center"/>
              <w:rPr>
                <w:rFonts w:ascii="宋体" w:hAnsi="宋体" w:cs="宋体"/>
                <w:color w:val="auto"/>
                <w:sz w:val="24"/>
                <w:highlight w:val="none"/>
              </w:rPr>
            </w:pPr>
          </w:p>
        </w:tc>
      </w:tr>
      <w:tr w14:paraId="7627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62EE4139">
            <w:pPr>
              <w:spacing w:line="360" w:lineRule="auto"/>
              <w:jc w:val="center"/>
              <w:rPr>
                <w:rFonts w:ascii="宋体" w:hAnsi="宋体" w:cs="宋体"/>
                <w:color w:val="auto"/>
                <w:sz w:val="24"/>
                <w:highlight w:val="none"/>
              </w:rPr>
            </w:pPr>
          </w:p>
        </w:tc>
        <w:tc>
          <w:tcPr>
            <w:tcW w:w="724" w:type="dxa"/>
            <w:noWrap w:val="0"/>
            <w:vAlign w:val="center"/>
          </w:tcPr>
          <w:p w14:paraId="588A3479">
            <w:pPr>
              <w:spacing w:line="360" w:lineRule="auto"/>
              <w:jc w:val="center"/>
              <w:rPr>
                <w:rFonts w:hint="eastAsia" w:ascii="宋体" w:hAnsi="宋体" w:cs="宋体"/>
                <w:color w:val="auto"/>
                <w:sz w:val="24"/>
                <w:highlight w:val="none"/>
              </w:rPr>
            </w:pPr>
          </w:p>
        </w:tc>
        <w:tc>
          <w:tcPr>
            <w:tcW w:w="989" w:type="dxa"/>
            <w:noWrap w:val="0"/>
            <w:vAlign w:val="center"/>
          </w:tcPr>
          <w:p w14:paraId="27EE8351">
            <w:pPr>
              <w:spacing w:line="360" w:lineRule="auto"/>
              <w:jc w:val="center"/>
              <w:rPr>
                <w:rFonts w:hint="eastAsia" w:ascii="宋体" w:hAnsi="宋体" w:eastAsia="微软雅黑" w:cs="宋体"/>
                <w:color w:val="auto"/>
                <w:sz w:val="24"/>
                <w:highlight w:val="none"/>
              </w:rPr>
            </w:pPr>
          </w:p>
        </w:tc>
        <w:tc>
          <w:tcPr>
            <w:tcW w:w="1256" w:type="dxa"/>
            <w:noWrap w:val="0"/>
            <w:vAlign w:val="center"/>
          </w:tcPr>
          <w:p w14:paraId="1B7ABF78">
            <w:pPr>
              <w:spacing w:line="360" w:lineRule="auto"/>
              <w:jc w:val="center"/>
              <w:rPr>
                <w:rFonts w:hint="eastAsia" w:ascii="宋体" w:hAnsi="宋体" w:eastAsia="微软雅黑" w:cs="宋体"/>
                <w:color w:val="auto"/>
                <w:sz w:val="24"/>
                <w:highlight w:val="none"/>
              </w:rPr>
            </w:pPr>
          </w:p>
        </w:tc>
        <w:tc>
          <w:tcPr>
            <w:tcW w:w="1180" w:type="dxa"/>
            <w:noWrap w:val="0"/>
            <w:vAlign w:val="center"/>
          </w:tcPr>
          <w:p w14:paraId="3AC318BD">
            <w:pPr>
              <w:spacing w:line="360" w:lineRule="auto"/>
              <w:jc w:val="center"/>
              <w:rPr>
                <w:rFonts w:hint="eastAsia" w:ascii="宋体" w:hAnsi="宋体" w:eastAsia="微软雅黑" w:cs="宋体"/>
                <w:color w:val="auto"/>
                <w:sz w:val="24"/>
                <w:highlight w:val="none"/>
              </w:rPr>
            </w:pPr>
          </w:p>
        </w:tc>
        <w:tc>
          <w:tcPr>
            <w:tcW w:w="1800" w:type="dxa"/>
            <w:noWrap w:val="0"/>
            <w:vAlign w:val="center"/>
          </w:tcPr>
          <w:p w14:paraId="064BD80E">
            <w:pPr>
              <w:spacing w:line="360" w:lineRule="auto"/>
              <w:jc w:val="center"/>
              <w:rPr>
                <w:rFonts w:hint="eastAsia" w:ascii="宋体" w:hAnsi="宋体" w:eastAsia="微软雅黑" w:cs="宋体"/>
                <w:color w:val="auto"/>
                <w:sz w:val="24"/>
                <w:highlight w:val="none"/>
              </w:rPr>
            </w:pPr>
          </w:p>
        </w:tc>
        <w:tc>
          <w:tcPr>
            <w:tcW w:w="1800" w:type="dxa"/>
            <w:noWrap w:val="0"/>
            <w:vAlign w:val="center"/>
          </w:tcPr>
          <w:p w14:paraId="670397F7">
            <w:pPr>
              <w:spacing w:line="360" w:lineRule="auto"/>
              <w:jc w:val="center"/>
              <w:rPr>
                <w:rFonts w:hint="eastAsia" w:ascii="宋体" w:hAnsi="宋体" w:eastAsia="微软雅黑" w:cs="宋体"/>
                <w:color w:val="auto"/>
                <w:sz w:val="24"/>
                <w:highlight w:val="none"/>
              </w:rPr>
            </w:pPr>
          </w:p>
        </w:tc>
      </w:tr>
      <w:tr w14:paraId="36D3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noWrap w:val="0"/>
            <w:vAlign w:val="center"/>
          </w:tcPr>
          <w:p w14:paraId="40E2D103">
            <w:pPr>
              <w:spacing w:line="360" w:lineRule="auto"/>
              <w:jc w:val="center"/>
              <w:rPr>
                <w:rFonts w:ascii="宋体" w:hAnsi="宋体" w:cs="宋体"/>
                <w:color w:val="auto"/>
                <w:sz w:val="24"/>
                <w:highlight w:val="none"/>
              </w:rPr>
            </w:pPr>
          </w:p>
        </w:tc>
        <w:tc>
          <w:tcPr>
            <w:tcW w:w="724" w:type="dxa"/>
            <w:noWrap w:val="0"/>
            <w:vAlign w:val="center"/>
          </w:tcPr>
          <w:p w14:paraId="61E863B6">
            <w:pPr>
              <w:spacing w:line="360" w:lineRule="auto"/>
              <w:jc w:val="center"/>
              <w:rPr>
                <w:rFonts w:ascii="宋体" w:hAnsi="宋体" w:cs="宋体"/>
                <w:color w:val="auto"/>
                <w:sz w:val="24"/>
                <w:highlight w:val="none"/>
              </w:rPr>
            </w:pPr>
          </w:p>
        </w:tc>
        <w:tc>
          <w:tcPr>
            <w:tcW w:w="989" w:type="dxa"/>
            <w:noWrap w:val="0"/>
            <w:vAlign w:val="center"/>
          </w:tcPr>
          <w:p w14:paraId="7CE13F19">
            <w:pPr>
              <w:spacing w:line="360" w:lineRule="auto"/>
              <w:jc w:val="center"/>
              <w:rPr>
                <w:rFonts w:ascii="宋体" w:hAnsi="宋体" w:cs="宋体"/>
                <w:color w:val="auto"/>
                <w:sz w:val="24"/>
                <w:highlight w:val="none"/>
              </w:rPr>
            </w:pPr>
          </w:p>
        </w:tc>
        <w:tc>
          <w:tcPr>
            <w:tcW w:w="1256" w:type="dxa"/>
            <w:noWrap w:val="0"/>
            <w:vAlign w:val="center"/>
          </w:tcPr>
          <w:p w14:paraId="12524460">
            <w:pPr>
              <w:spacing w:line="360" w:lineRule="auto"/>
              <w:jc w:val="center"/>
              <w:rPr>
                <w:rFonts w:ascii="宋体" w:hAnsi="宋体" w:cs="宋体"/>
                <w:color w:val="auto"/>
                <w:sz w:val="24"/>
                <w:highlight w:val="none"/>
              </w:rPr>
            </w:pPr>
          </w:p>
        </w:tc>
        <w:tc>
          <w:tcPr>
            <w:tcW w:w="1180" w:type="dxa"/>
            <w:noWrap w:val="0"/>
            <w:vAlign w:val="center"/>
          </w:tcPr>
          <w:p w14:paraId="38FA07D7">
            <w:pPr>
              <w:spacing w:line="360" w:lineRule="auto"/>
              <w:jc w:val="center"/>
              <w:rPr>
                <w:rFonts w:ascii="宋体" w:hAnsi="宋体" w:cs="宋体"/>
                <w:color w:val="auto"/>
                <w:sz w:val="24"/>
                <w:highlight w:val="none"/>
              </w:rPr>
            </w:pPr>
          </w:p>
        </w:tc>
        <w:tc>
          <w:tcPr>
            <w:tcW w:w="1800" w:type="dxa"/>
            <w:noWrap w:val="0"/>
            <w:vAlign w:val="center"/>
          </w:tcPr>
          <w:p w14:paraId="6C5AA68F">
            <w:pPr>
              <w:spacing w:line="360" w:lineRule="auto"/>
              <w:jc w:val="center"/>
              <w:rPr>
                <w:rFonts w:ascii="宋体" w:hAnsi="宋体" w:cs="宋体"/>
                <w:color w:val="auto"/>
                <w:sz w:val="24"/>
                <w:highlight w:val="none"/>
              </w:rPr>
            </w:pPr>
          </w:p>
        </w:tc>
        <w:tc>
          <w:tcPr>
            <w:tcW w:w="1800" w:type="dxa"/>
            <w:noWrap w:val="0"/>
            <w:vAlign w:val="center"/>
          </w:tcPr>
          <w:p w14:paraId="77EA4407">
            <w:pPr>
              <w:spacing w:line="360" w:lineRule="auto"/>
              <w:jc w:val="center"/>
              <w:rPr>
                <w:rFonts w:ascii="宋体" w:hAnsi="宋体" w:cs="宋体"/>
                <w:color w:val="auto"/>
                <w:sz w:val="24"/>
                <w:highlight w:val="none"/>
              </w:rPr>
            </w:pPr>
          </w:p>
        </w:tc>
      </w:tr>
      <w:tr w14:paraId="1698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50" w:type="dxa"/>
            <w:noWrap w:val="0"/>
            <w:vAlign w:val="center"/>
          </w:tcPr>
          <w:p w14:paraId="0CCFBDF5">
            <w:pPr>
              <w:spacing w:line="360" w:lineRule="auto"/>
              <w:jc w:val="center"/>
              <w:rPr>
                <w:rFonts w:ascii="宋体" w:hAnsi="宋体" w:cs="宋体"/>
                <w:color w:val="auto"/>
                <w:sz w:val="24"/>
                <w:highlight w:val="none"/>
              </w:rPr>
            </w:pPr>
          </w:p>
        </w:tc>
        <w:tc>
          <w:tcPr>
            <w:tcW w:w="724" w:type="dxa"/>
            <w:noWrap w:val="0"/>
            <w:vAlign w:val="center"/>
          </w:tcPr>
          <w:p w14:paraId="195F5F17">
            <w:pPr>
              <w:spacing w:line="360" w:lineRule="auto"/>
              <w:jc w:val="center"/>
              <w:rPr>
                <w:rFonts w:hint="eastAsia" w:ascii="宋体" w:hAnsi="宋体" w:cs="宋体"/>
                <w:color w:val="auto"/>
                <w:sz w:val="24"/>
                <w:highlight w:val="none"/>
              </w:rPr>
            </w:pPr>
          </w:p>
        </w:tc>
        <w:tc>
          <w:tcPr>
            <w:tcW w:w="989" w:type="dxa"/>
            <w:noWrap w:val="0"/>
            <w:vAlign w:val="center"/>
          </w:tcPr>
          <w:p w14:paraId="286A1622">
            <w:pPr>
              <w:spacing w:line="360" w:lineRule="auto"/>
              <w:jc w:val="center"/>
              <w:rPr>
                <w:rFonts w:ascii="宋体" w:hAnsi="宋体" w:cs="宋体"/>
                <w:color w:val="auto"/>
                <w:sz w:val="24"/>
                <w:highlight w:val="none"/>
              </w:rPr>
            </w:pPr>
          </w:p>
        </w:tc>
        <w:tc>
          <w:tcPr>
            <w:tcW w:w="1256" w:type="dxa"/>
            <w:noWrap w:val="0"/>
            <w:vAlign w:val="center"/>
          </w:tcPr>
          <w:p w14:paraId="4BB96619">
            <w:pPr>
              <w:spacing w:line="360" w:lineRule="auto"/>
              <w:jc w:val="center"/>
              <w:rPr>
                <w:rFonts w:ascii="宋体" w:hAnsi="宋体" w:cs="宋体"/>
                <w:color w:val="auto"/>
                <w:sz w:val="24"/>
                <w:highlight w:val="none"/>
              </w:rPr>
            </w:pPr>
          </w:p>
        </w:tc>
        <w:tc>
          <w:tcPr>
            <w:tcW w:w="1180" w:type="dxa"/>
            <w:noWrap w:val="0"/>
            <w:vAlign w:val="center"/>
          </w:tcPr>
          <w:p w14:paraId="346D934F">
            <w:pPr>
              <w:spacing w:line="360" w:lineRule="auto"/>
              <w:jc w:val="center"/>
              <w:rPr>
                <w:rFonts w:ascii="宋体" w:hAnsi="宋体" w:cs="宋体"/>
                <w:color w:val="auto"/>
                <w:sz w:val="24"/>
                <w:highlight w:val="none"/>
              </w:rPr>
            </w:pPr>
          </w:p>
        </w:tc>
        <w:tc>
          <w:tcPr>
            <w:tcW w:w="1800" w:type="dxa"/>
            <w:noWrap w:val="0"/>
            <w:vAlign w:val="center"/>
          </w:tcPr>
          <w:p w14:paraId="03E8CB70">
            <w:pPr>
              <w:spacing w:line="360" w:lineRule="auto"/>
              <w:jc w:val="center"/>
              <w:rPr>
                <w:rFonts w:ascii="宋体" w:hAnsi="宋体" w:cs="宋体"/>
                <w:color w:val="auto"/>
                <w:sz w:val="24"/>
                <w:highlight w:val="none"/>
              </w:rPr>
            </w:pPr>
          </w:p>
        </w:tc>
        <w:tc>
          <w:tcPr>
            <w:tcW w:w="1800" w:type="dxa"/>
            <w:noWrap w:val="0"/>
            <w:vAlign w:val="center"/>
          </w:tcPr>
          <w:p w14:paraId="44F066B2">
            <w:pPr>
              <w:spacing w:line="360" w:lineRule="auto"/>
              <w:jc w:val="center"/>
              <w:rPr>
                <w:rFonts w:ascii="宋体" w:hAnsi="宋体" w:cs="宋体"/>
                <w:color w:val="auto"/>
                <w:sz w:val="24"/>
                <w:highlight w:val="none"/>
              </w:rPr>
            </w:pPr>
          </w:p>
        </w:tc>
      </w:tr>
    </w:tbl>
    <w:p w14:paraId="311EF37F">
      <w:pPr>
        <w:adjustRightInd w:val="0"/>
        <w:snapToGrid w:val="0"/>
        <w:spacing w:line="360" w:lineRule="auto"/>
        <w:ind w:firstLine="480" w:firstLineChars="200"/>
        <w:textAlignment w:val="baseline"/>
        <w:rPr>
          <w:rFonts w:hint="eastAsia" w:ascii="宋体" w:hAnsi="宋体" w:cs="宋体"/>
          <w:color w:val="auto"/>
          <w:kern w:val="0"/>
          <w:sz w:val="24"/>
          <w:highlight w:val="none"/>
        </w:rPr>
      </w:pPr>
    </w:p>
    <w:p w14:paraId="0133B66E">
      <w:pPr>
        <w:pageBreakBefore w:val="0"/>
        <w:autoSpaceDE w:val="0"/>
        <w:autoSpaceDN w:val="0"/>
        <w:bidi w:val="0"/>
        <w:adjustRightInd w:val="0"/>
        <w:snapToGrid w:val="0"/>
        <w:spacing w:line="360" w:lineRule="auto"/>
        <w:ind w:firstLine="482" w:firstLineChars="200"/>
        <w:contextualSpacing/>
        <w:rPr>
          <w:rFonts w:hint="eastAsia" w:ascii="宋体" w:hAnsi="宋体" w:eastAsia="宋体" w:cs="宋体"/>
          <w:b/>
          <w:bCs/>
          <w:color w:val="auto"/>
          <w:spacing w:val="0"/>
          <w:w w:val="100"/>
          <w:kern w:val="0"/>
          <w:sz w:val="24"/>
          <w:szCs w:val="24"/>
          <w:highlight w:val="none"/>
          <w:lang w:val="en-US" w:eastAsia="zh-CN"/>
        </w:rPr>
      </w:pPr>
      <w:r>
        <w:rPr>
          <w:rFonts w:hint="eastAsia" w:ascii="宋体" w:hAnsi="宋体" w:eastAsia="宋体" w:cs="宋体"/>
          <w:b/>
          <w:bCs/>
          <w:color w:val="auto"/>
          <w:spacing w:val="0"/>
          <w:w w:val="100"/>
          <w:kern w:val="0"/>
          <w:sz w:val="24"/>
          <w:szCs w:val="24"/>
          <w:highlight w:val="none"/>
          <w:lang w:val="en-US" w:eastAsia="zh-CN"/>
        </w:rPr>
        <w:t>注：</w:t>
      </w:r>
    </w:p>
    <w:p w14:paraId="0F573DBE">
      <w:pPr>
        <w:pageBreakBefore w:val="0"/>
        <w:numPr>
          <w:ilvl w:val="0"/>
          <w:numId w:val="4"/>
        </w:numPr>
        <w:autoSpaceDE w:val="0"/>
        <w:autoSpaceDN w:val="0"/>
        <w:bidi w:val="0"/>
        <w:adjustRightInd w:val="0"/>
        <w:snapToGrid w:val="0"/>
        <w:spacing w:line="360" w:lineRule="auto"/>
        <w:ind w:firstLine="482" w:firstLineChars="200"/>
        <w:contextualSpacing/>
        <w:rPr>
          <w:rFonts w:hint="eastAsia" w:ascii="宋体" w:hAnsi="宋体" w:eastAsia="宋体" w:cs="宋体"/>
          <w:b/>
          <w:bCs/>
          <w:color w:val="auto"/>
          <w:spacing w:val="0"/>
          <w:w w:val="100"/>
          <w:kern w:val="0"/>
          <w:sz w:val="24"/>
          <w:szCs w:val="24"/>
          <w:highlight w:val="none"/>
          <w:lang w:val="en-US" w:eastAsia="zh-CN"/>
        </w:rPr>
      </w:pPr>
      <w:r>
        <w:rPr>
          <w:rFonts w:hint="eastAsia" w:ascii="宋体" w:hAnsi="宋体" w:eastAsia="宋体" w:cs="宋体"/>
          <w:b/>
          <w:bCs/>
          <w:color w:val="auto"/>
          <w:spacing w:val="0"/>
          <w:w w:val="100"/>
          <w:kern w:val="0"/>
          <w:sz w:val="24"/>
          <w:szCs w:val="24"/>
          <w:highlight w:val="none"/>
          <w:lang w:val="en-US" w:eastAsia="zh-CN"/>
        </w:rPr>
        <w:t>投标单位必须明确品牌、生产厂家、产地、及技术参数等。设备品牌由供应商自行选择，</w:t>
      </w:r>
      <w:r>
        <w:rPr>
          <w:rFonts w:hint="eastAsia" w:ascii="宋体" w:hAnsi="宋体" w:cs="宋体"/>
          <w:b/>
          <w:bCs/>
          <w:color w:val="auto"/>
          <w:spacing w:val="0"/>
          <w:w w:val="100"/>
          <w:kern w:val="0"/>
          <w:sz w:val="24"/>
          <w:szCs w:val="24"/>
          <w:highlight w:val="none"/>
          <w:lang w:val="en-US" w:eastAsia="zh-CN"/>
        </w:rPr>
        <w:t>选用推荐品牌以外的品牌的，</w:t>
      </w:r>
      <w:r>
        <w:rPr>
          <w:rFonts w:hint="eastAsia" w:ascii="宋体" w:hAnsi="宋体" w:eastAsia="宋体" w:cs="宋体"/>
          <w:b/>
          <w:bCs/>
          <w:color w:val="auto"/>
          <w:spacing w:val="0"/>
          <w:w w:val="100"/>
          <w:kern w:val="0"/>
          <w:sz w:val="24"/>
          <w:szCs w:val="24"/>
          <w:highlight w:val="none"/>
          <w:lang w:val="en-US" w:eastAsia="zh-CN"/>
        </w:rPr>
        <w:t>其</w:t>
      </w:r>
      <w:r>
        <w:rPr>
          <w:rFonts w:hint="eastAsia" w:ascii="宋体" w:hAnsi="宋体" w:cs="宋体"/>
          <w:b/>
          <w:bCs/>
          <w:color w:val="auto"/>
          <w:spacing w:val="0"/>
          <w:w w:val="100"/>
          <w:kern w:val="0"/>
          <w:sz w:val="24"/>
          <w:szCs w:val="24"/>
          <w:highlight w:val="none"/>
          <w:lang w:val="en-US" w:eastAsia="zh-CN"/>
        </w:rPr>
        <w:t>品质</w:t>
      </w:r>
      <w:r>
        <w:rPr>
          <w:rFonts w:hint="eastAsia" w:ascii="宋体" w:hAnsi="宋体" w:eastAsia="宋体" w:cs="宋体"/>
          <w:b/>
          <w:bCs/>
          <w:color w:val="auto"/>
          <w:spacing w:val="0"/>
          <w:w w:val="100"/>
          <w:kern w:val="0"/>
          <w:sz w:val="24"/>
          <w:szCs w:val="24"/>
          <w:highlight w:val="none"/>
          <w:lang w:val="en-US" w:eastAsia="zh-CN"/>
        </w:rPr>
        <w:t>必须满足或优于本</w:t>
      </w:r>
      <w:r>
        <w:rPr>
          <w:rFonts w:hint="eastAsia" w:ascii="宋体" w:hAnsi="宋体" w:cs="宋体"/>
          <w:b/>
          <w:bCs/>
          <w:color w:val="auto"/>
          <w:spacing w:val="0"/>
          <w:w w:val="100"/>
          <w:kern w:val="0"/>
          <w:sz w:val="24"/>
          <w:szCs w:val="24"/>
          <w:highlight w:val="none"/>
          <w:lang w:val="en-US" w:eastAsia="zh-CN"/>
        </w:rPr>
        <w:t>项目</w:t>
      </w:r>
      <w:r>
        <w:rPr>
          <w:rFonts w:hint="eastAsia" w:ascii="宋体" w:hAnsi="宋体" w:eastAsia="宋体" w:cs="宋体"/>
          <w:b/>
          <w:bCs/>
          <w:color w:val="auto"/>
          <w:spacing w:val="0"/>
          <w:w w:val="100"/>
          <w:kern w:val="0"/>
          <w:sz w:val="24"/>
          <w:szCs w:val="24"/>
          <w:highlight w:val="none"/>
          <w:lang w:val="en-US" w:eastAsia="zh-CN"/>
        </w:rPr>
        <w:t>要求</w:t>
      </w:r>
      <w:r>
        <w:rPr>
          <w:rFonts w:hint="eastAsia" w:ascii="宋体" w:hAnsi="宋体" w:cs="宋体"/>
          <w:b/>
          <w:bCs/>
          <w:color w:val="auto"/>
          <w:spacing w:val="0"/>
          <w:w w:val="100"/>
          <w:kern w:val="0"/>
          <w:sz w:val="24"/>
          <w:szCs w:val="24"/>
          <w:highlight w:val="none"/>
          <w:lang w:val="en-US" w:eastAsia="zh-CN"/>
        </w:rPr>
        <w:t>，同时提供相关证明文件</w:t>
      </w:r>
      <w:r>
        <w:rPr>
          <w:rFonts w:hint="eastAsia" w:ascii="宋体" w:hAnsi="宋体" w:eastAsia="宋体" w:cs="宋体"/>
          <w:b/>
          <w:bCs/>
          <w:color w:val="auto"/>
          <w:spacing w:val="0"/>
          <w:w w:val="100"/>
          <w:kern w:val="0"/>
          <w:sz w:val="24"/>
          <w:szCs w:val="24"/>
          <w:highlight w:val="none"/>
          <w:lang w:val="en-US" w:eastAsia="zh-CN"/>
        </w:rPr>
        <w:t>。</w:t>
      </w:r>
    </w:p>
    <w:p w14:paraId="282A4127">
      <w:pPr>
        <w:pageBreakBefore w:val="0"/>
        <w:numPr>
          <w:ilvl w:val="0"/>
          <w:numId w:val="4"/>
        </w:numPr>
        <w:autoSpaceDE w:val="0"/>
        <w:autoSpaceDN w:val="0"/>
        <w:bidi w:val="0"/>
        <w:adjustRightInd w:val="0"/>
        <w:snapToGrid w:val="0"/>
        <w:spacing w:line="360" w:lineRule="auto"/>
        <w:ind w:firstLine="482" w:firstLineChars="200"/>
        <w:contextualSpacing/>
        <w:rPr>
          <w:rFonts w:hint="eastAsia" w:ascii="宋体" w:hAnsi="宋体" w:eastAsia="宋体" w:cs="宋体"/>
          <w:b/>
          <w:bCs/>
          <w:color w:val="auto"/>
          <w:spacing w:val="0"/>
          <w:w w:val="100"/>
          <w:kern w:val="0"/>
          <w:sz w:val="24"/>
          <w:szCs w:val="24"/>
          <w:highlight w:val="none"/>
          <w:lang w:val="en-US" w:eastAsia="zh-CN"/>
        </w:rPr>
      </w:pPr>
      <w:r>
        <w:rPr>
          <w:rFonts w:hint="eastAsia" w:ascii="宋体" w:hAnsi="宋体" w:eastAsia="宋体" w:cs="宋体"/>
          <w:b/>
          <w:bCs/>
          <w:color w:val="auto"/>
          <w:spacing w:val="0"/>
          <w:w w:val="100"/>
          <w:kern w:val="0"/>
          <w:sz w:val="24"/>
          <w:szCs w:val="24"/>
          <w:highlight w:val="none"/>
          <w:lang w:val="en-US" w:eastAsia="zh-CN"/>
        </w:rPr>
        <w:t>表格可按需增列调整。</w:t>
      </w:r>
    </w:p>
    <w:p w14:paraId="1778A2FD">
      <w:pPr>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投标人：(盖单位章)</w:t>
      </w:r>
    </w:p>
    <w:p w14:paraId="4E1CB20A">
      <w:pPr>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法定代表人：(签字或印章)</w:t>
      </w:r>
    </w:p>
    <w:p w14:paraId="70F93733">
      <w:pPr>
        <w:adjustRightInd w:val="0"/>
        <w:snapToGrid w:val="0"/>
        <w:spacing w:line="360" w:lineRule="auto"/>
        <w:ind w:firstLine="480" w:firstLineChars="2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w:t>
      </w:r>
    </w:p>
    <w:p w14:paraId="34A54670">
      <w:pPr>
        <w:widowControl/>
        <w:topLinePunct/>
        <w:adjustRightInd w:val="0"/>
        <w:snapToGrid w:val="0"/>
        <w:spacing w:line="360" w:lineRule="auto"/>
        <w:jc w:val="left"/>
        <w:rPr>
          <w:rFonts w:ascii="宋体" w:hAnsi="宋体" w:cs="宋体"/>
          <w:b/>
          <w:bCs/>
          <w:color w:val="auto"/>
          <w:kern w:val="0"/>
          <w:sz w:val="24"/>
          <w:szCs w:val="24"/>
          <w:highlight w:val="none"/>
        </w:rPr>
      </w:pPr>
    </w:p>
    <w:p w14:paraId="6AA08351">
      <w:pPr>
        <w:widowControl/>
        <w:topLinePunct/>
        <w:adjustRightInd w:val="0"/>
        <w:snapToGrid w:val="0"/>
        <w:spacing w:line="360" w:lineRule="auto"/>
        <w:jc w:val="left"/>
        <w:rPr>
          <w:rFonts w:ascii="宋体" w:hAnsi="宋体" w:cs="宋体"/>
          <w:b/>
          <w:bCs/>
          <w:color w:val="auto"/>
          <w:kern w:val="0"/>
          <w:sz w:val="24"/>
          <w:szCs w:val="24"/>
          <w:highlight w:val="none"/>
        </w:rPr>
      </w:pPr>
    </w:p>
    <w:sectPr>
      <w:pgSz w:w="11906" w:h="16838"/>
      <w:pgMar w:top="1417"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Emoji">
    <w:panose1 w:val="020B0502040204020203"/>
    <w:charset w:val="00"/>
    <w:family w:val="swiss"/>
    <w:pitch w:val="default"/>
    <w:sig w:usb0="00000001" w:usb1="02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长城仿宋">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3CA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5EB5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E85EB5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3D78">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C7095">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2AC7095">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333BF"/>
    <w:multiLevelType w:val="singleLevel"/>
    <w:tmpl w:val="8D6333BF"/>
    <w:lvl w:ilvl="0" w:tentative="0">
      <w:start w:val="1"/>
      <w:numFmt w:val="decimal"/>
      <w:suff w:val="nothing"/>
      <w:lvlText w:val="%1、"/>
      <w:lvlJc w:val="left"/>
    </w:lvl>
  </w:abstractNum>
  <w:abstractNum w:abstractNumId="1">
    <w:nsid w:val="BE449234"/>
    <w:multiLevelType w:val="singleLevel"/>
    <w:tmpl w:val="BE449234"/>
    <w:lvl w:ilvl="0" w:tentative="0">
      <w:start w:val="1"/>
      <w:numFmt w:val="decimal"/>
      <w:suff w:val="nothing"/>
      <w:lvlText w:val="%1、"/>
      <w:lvlJc w:val="left"/>
    </w:lvl>
  </w:abstractNum>
  <w:abstractNum w:abstractNumId="2">
    <w:nsid w:val="5A73EE5A"/>
    <w:multiLevelType w:val="singleLevel"/>
    <w:tmpl w:val="5A73EE5A"/>
    <w:lvl w:ilvl="0" w:tentative="0">
      <w:start w:val="1"/>
      <w:numFmt w:val="decimal"/>
      <w:suff w:val="nothing"/>
      <w:lvlText w:val="（%1）"/>
      <w:lvlJc w:val="left"/>
    </w:lvl>
  </w:abstractNum>
  <w:abstractNum w:abstractNumId="3">
    <w:nsid w:val="664BF70B"/>
    <w:multiLevelType w:val="singleLevel"/>
    <w:tmpl w:val="664BF70B"/>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DlmNjU4MzkxOTg1YzZjNzk0NzAzNzFkZjRlYjIifQ=="/>
    <w:docVar w:name="KSO_WPS_MARK_KEY" w:val="07e79ce1-eae2-41a7-9916-8bfaa7c5ceea"/>
  </w:docVars>
  <w:rsids>
    <w:rsidRoot w:val="001708E4"/>
    <w:rsid w:val="00003B12"/>
    <w:rsid w:val="00055D9F"/>
    <w:rsid w:val="00067AB9"/>
    <w:rsid w:val="00071901"/>
    <w:rsid w:val="000B49A7"/>
    <w:rsid w:val="000D4996"/>
    <w:rsid w:val="000E71BF"/>
    <w:rsid w:val="000F1233"/>
    <w:rsid w:val="00145E68"/>
    <w:rsid w:val="001708E4"/>
    <w:rsid w:val="001A0EDC"/>
    <w:rsid w:val="001C7BFC"/>
    <w:rsid w:val="002B1CBF"/>
    <w:rsid w:val="002F143E"/>
    <w:rsid w:val="002F17E8"/>
    <w:rsid w:val="003605C0"/>
    <w:rsid w:val="00365436"/>
    <w:rsid w:val="003744B4"/>
    <w:rsid w:val="003F4A8F"/>
    <w:rsid w:val="00440208"/>
    <w:rsid w:val="004A0F20"/>
    <w:rsid w:val="004A7E10"/>
    <w:rsid w:val="00503EC9"/>
    <w:rsid w:val="005077C0"/>
    <w:rsid w:val="005803BF"/>
    <w:rsid w:val="00624BDB"/>
    <w:rsid w:val="006E0807"/>
    <w:rsid w:val="0070257E"/>
    <w:rsid w:val="0071356F"/>
    <w:rsid w:val="007429B3"/>
    <w:rsid w:val="008C2B0B"/>
    <w:rsid w:val="009163AF"/>
    <w:rsid w:val="0093772B"/>
    <w:rsid w:val="00954C3D"/>
    <w:rsid w:val="009843EF"/>
    <w:rsid w:val="00A01E0D"/>
    <w:rsid w:val="00A5672B"/>
    <w:rsid w:val="00A610F7"/>
    <w:rsid w:val="00A7500C"/>
    <w:rsid w:val="00A84130"/>
    <w:rsid w:val="00AD5454"/>
    <w:rsid w:val="00AE05F8"/>
    <w:rsid w:val="00B40B70"/>
    <w:rsid w:val="00BB6212"/>
    <w:rsid w:val="00C20339"/>
    <w:rsid w:val="00D921E8"/>
    <w:rsid w:val="00DE5A34"/>
    <w:rsid w:val="00E83878"/>
    <w:rsid w:val="00E91975"/>
    <w:rsid w:val="00E961A8"/>
    <w:rsid w:val="00EA1C6F"/>
    <w:rsid w:val="00EA4210"/>
    <w:rsid w:val="00EB4D53"/>
    <w:rsid w:val="00F14939"/>
    <w:rsid w:val="00FD24F8"/>
    <w:rsid w:val="01622317"/>
    <w:rsid w:val="01CE65D2"/>
    <w:rsid w:val="033C6E7B"/>
    <w:rsid w:val="03C8711A"/>
    <w:rsid w:val="08991E7F"/>
    <w:rsid w:val="09297BD2"/>
    <w:rsid w:val="0BD41778"/>
    <w:rsid w:val="0C5C70F6"/>
    <w:rsid w:val="0C9D33BF"/>
    <w:rsid w:val="0D1C4E65"/>
    <w:rsid w:val="1069217B"/>
    <w:rsid w:val="10A741DE"/>
    <w:rsid w:val="114F6F76"/>
    <w:rsid w:val="12217B86"/>
    <w:rsid w:val="13255454"/>
    <w:rsid w:val="1A2736D1"/>
    <w:rsid w:val="1AFC2F3E"/>
    <w:rsid w:val="1CE67A02"/>
    <w:rsid w:val="1EB067E8"/>
    <w:rsid w:val="203778E9"/>
    <w:rsid w:val="20E929A4"/>
    <w:rsid w:val="211D479E"/>
    <w:rsid w:val="224308C2"/>
    <w:rsid w:val="236D2C2B"/>
    <w:rsid w:val="26C12F74"/>
    <w:rsid w:val="285C1C03"/>
    <w:rsid w:val="288F421B"/>
    <w:rsid w:val="29752839"/>
    <w:rsid w:val="2CD74B1F"/>
    <w:rsid w:val="31D574A7"/>
    <w:rsid w:val="35A47524"/>
    <w:rsid w:val="36E67BD7"/>
    <w:rsid w:val="373B6744"/>
    <w:rsid w:val="38765BD6"/>
    <w:rsid w:val="38D155B2"/>
    <w:rsid w:val="38F56C58"/>
    <w:rsid w:val="39F512C5"/>
    <w:rsid w:val="3ACA6558"/>
    <w:rsid w:val="3DFD4754"/>
    <w:rsid w:val="3E18028B"/>
    <w:rsid w:val="44185647"/>
    <w:rsid w:val="49F403EC"/>
    <w:rsid w:val="4A205A52"/>
    <w:rsid w:val="4D5B5AA0"/>
    <w:rsid w:val="4DD0778F"/>
    <w:rsid w:val="4F4A06AB"/>
    <w:rsid w:val="566E49DC"/>
    <w:rsid w:val="56CA3993"/>
    <w:rsid w:val="57DA74B2"/>
    <w:rsid w:val="5B8C77C1"/>
    <w:rsid w:val="5BEC60DC"/>
    <w:rsid w:val="63364050"/>
    <w:rsid w:val="65836F89"/>
    <w:rsid w:val="66977AB1"/>
    <w:rsid w:val="670D52FD"/>
    <w:rsid w:val="676047F4"/>
    <w:rsid w:val="67605F50"/>
    <w:rsid w:val="68570D81"/>
    <w:rsid w:val="68721D6A"/>
    <w:rsid w:val="696574CD"/>
    <w:rsid w:val="6EB97201"/>
    <w:rsid w:val="74075304"/>
    <w:rsid w:val="74C94DB4"/>
    <w:rsid w:val="75167F24"/>
    <w:rsid w:val="769E2194"/>
    <w:rsid w:val="785C7C54"/>
    <w:rsid w:val="78F65981"/>
    <w:rsid w:val="7A7570F7"/>
    <w:rsid w:val="7ADA23EA"/>
    <w:rsid w:val="7B0209A9"/>
    <w:rsid w:val="7E8A1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6"/>
    <w:qFormat/>
    <w:uiPriority w:val="9"/>
    <w:pPr>
      <w:spacing w:line="360" w:lineRule="auto"/>
      <w:jc w:val="center"/>
      <w:outlineLvl w:val="0"/>
    </w:pPr>
    <w:rPr>
      <w:b/>
      <w:kern w:val="44"/>
      <w:sz w:val="32"/>
      <w:szCs w:val="20"/>
    </w:rPr>
  </w:style>
  <w:style w:type="paragraph" w:styleId="3">
    <w:name w:val="heading 2"/>
    <w:basedOn w:val="1"/>
    <w:next w:val="1"/>
    <w:link w:val="67"/>
    <w:qFormat/>
    <w:uiPriority w:val="9"/>
    <w:pPr>
      <w:keepNext/>
      <w:keepLines/>
      <w:spacing w:line="360" w:lineRule="auto"/>
      <w:outlineLvl w:val="1"/>
    </w:pPr>
    <w:rPr>
      <w:rFonts w:ascii="Cambria" w:hAnsi="Cambria"/>
      <w:b/>
      <w:bCs/>
      <w:kern w:val="0"/>
      <w:sz w:val="32"/>
      <w:szCs w:val="32"/>
    </w:rPr>
  </w:style>
  <w:style w:type="paragraph" w:styleId="4">
    <w:name w:val="heading 3"/>
    <w:basedOn w:val="1"/>
    <w:next w:val="1"/>
    <w:link w:val="68"/>
    <w:qFormat/>
    <w:uiPriority w:val="9"/>
    <w:pPr>
      <w:keepNext/>
      <w:keepLines/>
      <w:spacing w:before="260" w:after="260" w:line="416" w:lineRule="auto"/>
      <w:outlineLvl w:val="2"/>
    </w:pPr>
    <w:rPr>
      <w:b/>
      <w:bCs/>
      <w:sz w:val="32"/>
      <w:szCs w:val="32"/>
    </w:rPr>
  </w:style>
  <w:style w:type="paragraph" w:styleId="5">
    <w:name w:val="heading 4"/>
    <w:basedOn w:val="1"/>
    <w:next w:val="1"/>
    <w:link w:val="69"/>
    <w:qFormat/>
    <w:uiPriority w:val="99"/>
    <w:pPr>
      <w:keepNext/>
      <w:keepLines/>
      <w:spacing w:before="280" w:after="290" w:line="376" w:lineRule="auto"/>
      <w:outlineLvl w:val="3"/>
    </w:pPr>
    <w:rPr>
      <w:rFonts w:ascii="Cambria" w:hAnsi="Cambria"/>
      <w:b/>
      <w:bCs/>
      <w:sz w:val="28"/>
      <w:szCs w:val="28"/>
    </w:rPr>
  </w:style>
  <w:style w:type="paragraph" w:styleId="6">
    <w:name w:val="heading 5"/>
    <w:next w:val="1"/>
    <w:link w:val="70"/>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7">
    <w:name w:val="heading 6"/>
    <w:basedOn w:val="1"/>
    <w:next w:val="1"/>
    <w:link w:val="71"/>
    <w:qFormat/>
    <w:uiPriority w:val="0"/>
    <w:pPr>
      <w:keepNext/>
      <w:keepLines/>
      <w:spacing w:before="240" w:after="64" w:line="317" w:lineRule="auto"/>
      <w:outlineLvl w:val="5"/>
    </w:pPr>
    <w:rPr>
      <w:rFonts w:ascii="Arial" w:hAnsi="Arial" w:eastAsia="黑体"/>
      <w:b/>
      <w:kern w:val="0"/>
      <w:sz w:val="24"/>
      <w:szCs w:val="20"/>
    </w:rPr>
  </w:style>
  <w:style w:type="paragraph" w:styleId="8">
    <w:name w:val="heading 7"/>
    <w:basedOn w:val="1"/>
    <w:next w:val="1"/>
    <w:link w:val="72"/>
    <w:qFormat/>
    <w:uiPriority w:val="0"/>
    <w:pPr>
      <w:keepNext/>
      <w:keepLines/>
      <w:spacing w:before="240" w:after="64" w:line="317" w:lineRule="auto"/>
      <w:outlineLvl w:val="6"/>
    </w:pPr>
    <w:rPr>
      <w:b/>
      <w:kern w:val="0"/>
      <w:sz w:val="24"/>
      <w:szCs w:val="20"/>
    </w:rPr>
  </w:style>
  <w:style w:type="paragraph" w:styleId="9">
    <w:name w:val="heading 8"/>
    <w:basedOn w:val="1"/>
    <w:next w:val="1"/>
    <w:link w:val="73"/>
    <w:qFormat/>
    <w:uiPriority w:val="0"/>
    <w:pPr>
      <w:keepNext/>
      <w:keepLines/>
      <w:spacing w:before="240" w:after="64" w:line="317" w:lineRule="auto"/>
      <w:outlineLvl w:val="7"/>
    </w:pPr>
    <w:rPr>
      <w:rFonts w:ascii="Arial" w:hAnsi="Arial" w:eastAsia="黑体"/>
      <w:kern w:val="0"/>
      <w:sz w:val="24"/>
      <w:szCs w:val="20"/>
    </w:rPr>
  </w:style>
  <w:style w:type="paragraph" w:styleId="10">
    <w:name w:val="heading 9"/>
    <w:basedOn w:val="1"/>
    <w:next w:val="1"/>
    <w:link w:val="74"/>
    <w:qFormat/>
    <w:uiPriority w:val="0"/>
    <w:pPr>
      <w:keepNext/>
      <w:keepLines/>
      <w:spacing w:before="240" w:after="64" w:line="317" w:lineRule="auto"/>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Georgia" w:hAnsi="Georgia" w:eastAsia="Georgia" w:cs="Segoe UI Emoji"/>
    </w:rPr>
  </w:style>
  <w:style w:type="paragraph" w:styleId="12">
    <w:name w:val="Normal Indent"/>
    <w:basedOn w:val="1"/>
    <w:link w:val="75"/>
    <w:qFormat/>
    <w:uiPriority w:val="0"/>
    <w:pPr>
      <w:adjustRightInd w:val="0"/>
      <w:ind w:firstLine="420"/>
      <w:jc w:val="left"/>
      <w:textAlignment w:val="baseline"/>
    </w:pPr>
    <w:rPr>
      <w:rFonts w:ascii="Calibri" w:hAnsi="Calibri" w:eastAsia="楷体_GB2312"/>
      <w:kern w:val="0"/>
      <w:sz w:val="24"/>
      <w:szCs w:val="20"/>
    </w:rPr>
  </w:style>
  <w:style w:type="paragraph" w:styleId="13">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4">
    <w:name w:val="Document Map"/>
    <w:basedOn w:val="1"/>
    <w:link w:val="76"/>
    <w:unhideWhenUsed/>
    <w:qFormat/>
    <w:uiPriority w:val="99"/>
    <w:rPr>
      <w:rFonts w:ascii="宋体"/>
      <w:kern w:val="0"/>
      <w:sz w:val="18"/>
      <w:szCs w:val="18"/>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77"/>
    <w:unhideWhenUsed/>
    <w:qFormat/>
    <w:uiPriority w:val="99"/>
    <w:pPr>
      <w:jc w:val="left"/>
    </w:pPr>
  </w:style>
  <w:style w:type="paragraph" w:styleId="17">
    <w:name w:val="Salutation"/>
    <w:basedOn w:val="1"/>
    <w:next w:val="1"/>
    <w:link w:val="107"/>
    <w:qFormat/>
    <w:uiPriority w:val="99"/>
    <w:pPr>
      <w:widowControl/>
      <w:jc w:val="left"/>
    </w:pPr>
    <w:rPr>
      <w:kern w:val="0"/>
      <w:sz w:val="30"/>
      <w:szCs w:val="20"/>
    </w:rPr>
  </w:style>
  <w:style w:type="paragraph" w:styleId="18">
    <w:name w:val="Body Text 3"/>
    <w:basedOn w:val="1"/>
    <w:link w:val="109"/>
    <w:qFormat/>
    <w:uiPriority w:val="0"/>
    <w:pPr>
      <w:spacing w:line="500" w:lineRule="exact"/>
    </w:pPr>
    <w:rPr>
      <w:color w:val="000000"/>
      <w:kern w:val="0"/>
      <w:sz w:val="24"/>
      <w:szCs w:val="20"/>
    </w:rPr>
  </w:style>
  <w:style w:type="paragraph" w:styleId="19">
    <w:name w:val="Body Text"/>
    <w:basedOn w:val="1"/>
    <w:next w:val="1"/>
    <w:link w:val="111"/>
    <w:qFormat/>
    <w:uiPriority w:val="0"/>
    <w:pPr>
      <w:spacing w:after="120"/>
    </w:pPr>
    <w:rPr>
      <w:szCs w:val="24"/>
    </w:rPr>
  </w:style>
  <w:style w:type="paragraph" w:styleId="20">
    <w:name w:val="Body Text Indent"/>
    <w:basedOn w:val="1"/>
    <w:link w:val="78"/>
    <w:unhideWhenUsed/>
    <w:qFormat/>
    <w:uiPriority w:val="0"/>
    <w:pPr>
      <w:spacing w:after="120"/>
      <w:ind w:left="420" w:leftChars="200"/>
    </w:pPr>
  </w:style>
  <w:style w:type="paragraph" w:styleId="21">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2">
    <w:name w:val="index 4"/>
    <w:basedOn w:val="1"/>
    <w:next w:val="1"/>
    <w:qFormat/>
    <w:uiPriority w:val="0"/>
    <w:pPr>
      <w:ind w:left="1260"/>
    </w:pPr>
    <w:rPr>
      <w:rFonts w:ascii="Calibri" w:hAnsi="Calibri"/>
      <w:szCs w:val="20"/>
    </w:rPr>
  </w:style>
  <w:style w:type="paragraph" w:styleId="23">
    <w:name w:val="toc 5"/>
    <w:basedOn w:val="1"/>
    <w:next w:val="1"/>
    <w:unhideWhenUsed/>
    <w:qFormat/>
    <w:uiPriority w:val="39"/>
    <w:pPr>
      <w:ind w:left="1680" w:leftChars="800"/>
    </w:pPr>
    <w:rPr>
      <w:rFonts w:ascii="Georgia" w:hAnsi="Georgia" w:eastAsia="Georgia" w:cs="Segoe UI Emoji"/>
    </w:rPr>
  </w:style>
  <w:style w:type="paragraph" w:styleId="24">
    <w:name w:val="toc 3"/>
    <w:basedOn w:val="1"/>
    <w:next w:val="1"/>
    <w:qFormat/>
    <w:uiPriority w:val="39"/>
    <w:pPr>
      <w:ind w:left="840" w:leftChars="400"/>
    </w:pPr>
    <w:rPr>
      <w:rFonts w:ascii="Calibri" w:hAnsi="Calibri"/>
      <w:szCs w:val="20"/>
    </w:rPr>
  </w:style>
  <w:style w:type="paragraph" w:styleId="25">
    <w:name w:val="Plain Text"/>
    <w:basedOn w:val="1"/>
    <w:next w:val="1"/>
    <w:link w:val="79"/>
    <w:qFormat/>
    <w:uiPriority w:val="0"/>
    <w:rPr>
      <w:rFonts w:ascii="宋体" w:hAnsi="Courier New"/>
      <w:szCs w:val="20"/>
    </w:rPr>
  </w:style>
  <w:style w:type="paragraph" w:styleId="26">
    <w:name w:val="toc 8"/>
    <w:basedOn w:val="1"/>
    <w:next w:val="1"/>
    <w:unhideWhenUsed/>
    <w:qFormat/>
    <w:uiPriority w:val="39"/>
    <w:pPr>
      <w:ind w:left="2940" w:leftChars="1400"/>
    </w:pPr>
    <w:rPr>
      <w:rFonts w:ascii="Georgia" w:hAnsi="Georgia" w:eastAsia="Georgia" w:cs="Segoe UI Emoji"/>
    </w:rPr>
  </w:style>
  <w:style w:type="paragraph" w:styleId="27">
    <w:name w:val="Date"/>
    <w:basedOn w:val="1"/>
    <w:next w:val="1"/>
    <w:link w:val="112"/>
    <w:qFormat/>
    <w:uiPriority w:val="99"/>
    <w:pPr>
      <w:ind w:left="100" w:leftChars="2500"/>
    </w:pPr>
    <w:rPr>
      <w:szCs w:val="24"/>
    </w:rPr>
  </w:style>
  <w:style w:type="paragraph" w:styleId="28">
    <w:name w:val="Body Text Indent 2"/>
    <w:basedOn w:val="1"/>
    <w:link w:val="114"/>
    <w:qFormat/>
    <w:uiPriority w:val="0"/>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29">
    <w:name w:val="Balloon Text"/>
    <w:basedOn w:val="1"/>
    <w:link w:val="80"/>
    <w:unhideWhenUsed/>
    <w:qFormat/>
    <w:uiPriority w:val="99"/>
    <w:rPr>
      <w:sz w:val="18"/>
      <w:szCs w:val="18"/>
    </w:rPr>
  </w:style>
  <w:style w:type="paragraph" w:styleId="30">
    <w:name w:val="footer"/>
    <w:basedOn w:val="1"/>
    <w:link w:val="81"/>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99"/>
    <w:pPr>
      <w:snapToGrid w:val="0"/>
    </w:pPr>
    <w:rPr>
      <w:rFonts w:ascii="Arial" w:hAnsi="Arial"/>
    </w:rPr>
  </w:style>
  <w:style w:type="paragraph" w:styleId="32">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adjustRightInd w:val="0"/>
      <w:jc w:val="left"/>
      <w:textAlignment w:val="baseline"/>
    </w:pPr>
    <w:rPr>
      <w:rFonts w:ascii="Calibri" w:hAnsi="Calibri" w:eastAsia="楷体_GB2312"/>
      <w:sz w:val="24"/>
      <w:szCs w:val="20"/>
    </w:rPr>
  </w:style>
  <w:style w:type="paragraph" w:styleId="34">
    <w:name w:val="toc 4"/>
    <w:basedOn w:val="1"/>
    <w:next w:val="1"/>
    <w:unhideWhenUsed/>
    <w:qFormat/>
    <w:uiPriority w:val="39"/>
    <w:pPr>
      <w:ind w:left="1260" w:leftChars="600"/>
    </w:pPr>
    <w:rPr>
      <w:rFonts w:ascii="Georgia" w:hAnsi="Georgia" w:eastAsia="Georgia" w:cs="Segoe UI Emoji"/>
    </w:rPr>
  </w:style>
  <w:style w:type="paragraph" w:styleId="35">
    <w:name w:val="Subtitle"/>
    <w:basedOn w:val="1"/>
    <w:next w:val="1"/>
    <w:link w:val="117"/>
    <w:qFormat/>
    <w:uiPriority w:val="0"/>
    <w:pPr>
      <w:spacing w:before="240" w:after="60" w:line="312" w:lineRule="auto"/>
      <w:jc w:val="center"/>
      <w:outlineLvl w:val="1"/>
    </w:pPr>
    <w:rPr>
      <w:rFonts w:ascii="Cambria" w:hAnsi="Cambria"/>
      <w:b/>
      <w:kern w:val="28"/>
      <w:sz w:val="32"/>
      <w:szCs w:val="20"/>
    </w:rPr>
  </w:style>
  <w:style w:type="paragraph" w:styleId="36">
    <w:name w:val="toc 6"/>
    <w:basedOn w:val="1"/>
    <w:next w:val="1"/>
    <w:unhideWhenUsed/>
    <w:qFormat/>
    <w:uiPriority w:val="39"/>
    <w:pPr>
      <w:ind w:left="2100" w:leftChars="1000"/>
    </w:pPr>
    <w:rPr>
      <w:rFonts w:ascii="Georgia" w:hAnsi="Georgia" w:eastAsia="Georgia" w:cs="Segoe UI Emoji"/>
    </w:rPr>
  </w:style>
  <w:style w:type="paragraph" w:styleId="37">
    <w:name w:val="Body Text Indent 3"/>
    <w:basedOn w:val="1"/>
    <w:link w:val="119"/>
    <w:qFormat/>
    <w:uiPriority w:val="0"/>
    <w:pPr>
      <w:spacing w:line="620" w:lineRule="exact"/>
      <w:ind w:firstLine="570"/>
    </w:pPr>
    <w:rPr>
      <w:rFonts w:ascii="宋体"/>
      <w:kern w:val="0"/>
      <w:sz w:val="24"/>
      <w:szCs w:val="20"/>
    </w:rPr>
  </w:style>
  <w:style w:type="paragraph" w:styleId="38">
    <w:name w:val="toc 2"/>
    <w:basedOn w:val="1"/>
    <w:next w:val="1"/>
    <w:unhideWhenUsed/>
    <w:qFormat/>
    <w:uiPriority w:val="39"/>
    <w:pPr>
      <w:ind w:left="420" w:leftChars="200"/>
    </w:pPr>
    <w:rPr>
      <w:szCs w:val="24"/>
    </w:rPr>
  </w:style>
  <w:style w:type="paragraph" w:styleId="39">
    <w:name w:val="toc 9"/>
    <w:basedOn w:val="1"/>
    <w:next w:val="1"/>
    <w:unhideWhenUsed/>
    <w:qFormat/>
    <w:uiPriority w:val="39"/>
    <w:pPr>
      <w:ind w:left="3360" w:leftChars="1600"/>
    </w:pPr>
    <w:rPr>
      <w:rFonts w:ascii="Georgia" w:hAnsi="Georgia" w:eastAsia="Georgia" w:cs="Segoe UI Emoji"/>
    </w:rPr>
  </w:style>
  <w:style w:type="paragraph" w:styleId="40">
    <w:name w:val="Body Text 2"/>
    <w:basedOn w:val="1"/>
    <w:link w:val="120"/>
    <w:qFormat/>
    <w:uiPriority w:val="0"/>
    <w:pPr>
      <w:spacing w:after="120" w:line="480" w:lineRule="auto"/>
    </w:pPr>
    <w:rPr>
      <w:szCs w:val="24"/>
    </w:rPr>
  </w:style>
  <w:style w:type="paragraph" w:styleId="41">
    <w:name w:val="HTML Preformatted"/>
    <w:basedOn w:val="1"/>
    <w:link w:val="1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2">
    <w:name w:val="Normal (Web)"/>
    <w:basedOn w:val="1"/>
    <w:link w:val="373"/>
    <w:unhideWhenUsed/>
    <w:qFormat/>
    <w:uiPriority w:val="99"/>
    <w:pPr>
      <w:spacing w:before="100" w:beforeAutospacing="1" w:after="100" w:afterAutospacing="1"/>
      <w:jc w:val="left"/>
    </w:pPr>
    <w:rPr>
      <w:rFonts w:ascii="Calibri" w:hAnsi="Calibri"/>
      <w:kern w:val="0"/>
      <w:sz w:val="24"/>
      <w:szCs w:val="20"/>
    </w:rPr>
  </w:style>
  <w:style w:type="paragraph" w:styleId="43">
    <w:name w:val="Title"/>
    <w:basedOn w:val="1"/>
    <w:link w:val="123"/>
    <w:qFormat/>
    <w:uiPriority w:val="0"/>
    <w:pPr>
      <w:spacing w:before="240" w:after="60"/>
      <w:jc w:val="center"/>
      <w:outlineLvl w:val="0"/>
    </w:pPr>
    <w:rPr>
      <w:rFonts w:ascii="Arial" w:hAnsi="Arial"/>
      <w:b/>
      <w:bCs/>
      <w:sz w:val="32"/>
      <w:szCs w:val="32"/>
    </w:rPr>
  </w:style>
  <w:style w:type="paragraph" w:styleId="44">
    <w:name w:val="annotation subject"/>
    <w:basedOn w:val="16"/>
    <w:next w:val="16"/>
    <w:link w:val="83"/>
    <w:unhideWhenUsed/>
    <w:qFormat/>
    <w:uiPriority w:val="99"/>
    <w:rPr>
      <w:b/>
      <w:bCs/>
    </w:rPr>
  </w:style>
  <w:style w:type="paragraph" w:styleId="45">
    <w:name w:val="Body Text First Indent"/>
    <w:basedOn w:val="19"/>
    <w:link w:val="125"/>
    <w:qFormat/>
    <w:uiPriority w:val="0"/>
    <w:pPr>
      <w:ind w:firstLine="420" w:firstLineChars="100"/>
    </w:pPr>
    <w:rPr>
      <w:kern w:val="0"/>
      <w:sz w:val="20"/>
    </w:rPr>
  </w:style>
  <w:style w:type="paragraph" w:styleId="46">
    <w:name w:val="Body Text First Indent 2"/>
    <w:basedOn w:val="20"/>
    <w:link w:val="84"/>
    <w:unhideWhenUsed/>
    <w:qFormat/>
    <w:uiPriority w:val="99"/>
    <w:pPr>
      <w:ind w:firstLine="420" w:firstLineChars="200"/>
    </w:pPr>
  </w:style>
  <w:style w:type="table" w:styleId="48">
    <w:name w:val="Table Grid"/>
    <w:basedOn w:val="47"/>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22"/>
    <w:rPr>
      <w:b/>
    </w:rPr>
  </w:style>
  <w:style w:type="character" w:styleId="51">
    <w:name w:val="page number"/>
    <w:basedOn w:val="49"/>
    <w:qFormat/>
    <w:uiPriority w:val="0"/>
  </w:style>
  <w:style w:type="character" w:styleId="52">
    <w:name w:val="FollowedHyperlink"/>
    <w:unhideWhenUsed/>
    <w:qFormat/>
    <w:uiPriority w:val="0"/>
    <w:rPr>
      <w:color w:val="800080"/>
      <w:u w:val="single"/>
    </w:rPr>
  </w:style>
  <w:style w:type="character" w:styleId="53">
    <w:name w:val="Emphasis"/>
    <w:qFormat/>
    <w:uiPriority w:val="20"/>
  </w:style>
  <w:style w:type="character" w:styleId="54">
    <w:name w:val="HTML Definition"/>
    <w:unhideWhenUsed/>
    <w:qFormat/>
    <w:uiPriority w:val="99"/>
  </w:style>
  <w:style w:type="character" w:styleId="55">
    <w:name w:val="HTML Typewriter"/>
    <w:qFormat/>
    <w:uiPriority w:val="99"/>
    <w:rPr>
      <w:rFonts w:ascii="黑体" w:hAnsi="Courier New" w:eastAsia="黑体" w:cs="Courier New"/>
      <w:sz w:val="14"/>
      <w:szCs w:val="14"/>
    </w:rPr>
  </w:style>
  <w:style w:type="character" w:styleId="56">
    <w:name w:val="HTML Acronym"/>
    <w:unhideWhenUsed/>
    <w:qFormat/>
    <w:uiPriority w:val="99"/>
  </w:style>
  <w:style w:type="character" w:styleId="57">
    <w:name w:val="HTML Variable"/>
    <w:unhideWhenUsed/>
    <w:qFormat/>
    <w:uiPriority w:val="99"/>
  </w:style>
  <w:style w:type="character" w:styleId="58">
    <w:name w:val="Hyperlink"/>
    <w:basedOn w:val="49"/>
    <w:unhideWhenUsed/>
    <w:qFormat/>
    <w:uiPriority w:val="99"/>
    <w:rPr>
      <w:color w:val="0000FF"/>
      <w:u w:val="single"/>
    </w:rPr>
  </w:style>
  <w:style w:type="character" w:styleId="59">
    <w:name w:val="HTML Code"/>
    <w:unhideWhenUsed/>
    <w:qFormat/>
    <w:uiPriority w:val="99"/>
    <w:rPr>
      <w:rFonts w:ascii="serif" w:hAnsi="serif" w:eastAsia="serif" w:cs="serif"/>
      <w:sz w:val="21"/>
      <w:szCs w:val="21"/>
    </w:rPr>
  </w:style>
  <w:style w:type="character" w:styleId="60">
    <w:name w:val="annotation reference"/>
    <w:unhideWhenUsed/>
    <w:qFormat/>
    <w:uiPriority w:val="99"/>
    <w:rPr>
      <w:sz w:val="21"/>
      <w:szCs w:val="21"/>
    </w:rPr>
  </w:style>
  <w:style w:type="character" w:styleId="61">
    <w:name w:val="HTML Cite"/>
    <w:unhideWhenUsed/>
    <w:qFormat/>
    <w:uiPriority w:val="99"/>
  </w:style>
  <w:style w:type="character" w:styleId="62">
    <w:name w:val="HTML Keyboard"/>
    <w:unhideWhenUsed/>
    <w:qFormat/>
    <w:uiPriority w:val="99"/>
    <w:rPr>
      <w:rFonts w:hint="default" w:ascii="serif" w:hAnsi="serif" w:eastAsia="serif" w:cs="serif"/>
      <w:sz w:val="21"/>
      <w:szCs w:val="21"/>
    </w:rPr>
  </w:style>
  <w:style w:type="character" w:styleId="63">
    <w:name w:val="HTML Sample"/>
    <w:unhideWhenUsed/>
    <w:qFormat/>
    <w:uiPriority w:val="99"/>
    <w:rPr>
      <w:rFonts w:hint="default" w:ascii="serif" w:hAnsi="serif" w:eastAsia="serif" w:cs="serif"/>
      <w:sz w:val="21"/>
      <w:szCs w:val="21"/>
    </w:rPr>
  </w:style>
  <w:style w:type="paragraph" w:customStyle="1" w:styleId="64">
    <w:name w:val="正文首行缩进 21"/>
    <w:basedOn w:val="65"/>
    <w:unhideWhenUsed/>
    <w:qFormat/>
    <w:uiPriority w:val="99"/>
    <w:pPr>
      <w:spacing w:after="0"/>
      <w:ind w:left="480" w:firstLine="420"/>
    </w:pPr>
    <w:rPr>
      <w:sz w:val="24"/>
    </w:rPr>
  </w:style>
  <w:style w:type="paragraph" w:customStyle="1" w:styleId="65">
    <w:name w:val="正文文本缩进1"/>
    <w:basedOn w:val="1"/>
    <w:qFormat/>
    <w:uiPriority w:val="0"/>
    <w:pPr>
      <w:spacing w:after="120"/>
      <w:ind w:left="420"/>
    </w:pPr>
  </w:style>
  <w:style w:type="character" w:customStyle="1" w:styleId="66">
    <w:name w:val="标题 1 字符"/>
    <w:basedOn w:val="49"/>
    <w:link w:val="2"/>
    <w:qFormat/>
    <w:uiPriority w:val="9"/>
    <w:rPr>
      <w:rFonts w:ascii="Times New Roman" w:hAnsi="Times New Roman" w:eastAsia="宋体" w:cs="Times New Roman"/>
      <w:b/>
      <w:kern w:val="44"/>
      <w:sz w:val="32"/>
      <w:szCs w:val="20"/>
    </w:rPr>
  </w:style>
  <w:style w:type="character" w:customStyle="1" w:styleId="67">
    <w:name w:val="标题 2 字符"/>
    <w:basedOn w:val="49"/>
    <w:link w:val="3"/>
    <w:qFormat/>
    <w:uiPriority w:val="9"/>
    <w:rPr>
      <w:rFonts w:ascii="Cambria" w:hAnsi="Cambria" w:eastAsia="宋体" w:cs="Times New Roman"/>
      <w:b/>
      <w:bCs/>
      <w:kern w:val="0"/>
      <w:sz w:val="32"/>
      <w:szCs w:val="32"/>
    </w:rPr>
  </w:style>
  <w:style w:type="character" w:customStyle="1" w:styleId="68">
    <w:name w:val="标题 3 字符1"/>
    <w:basedOn w:val="49"/>
    <w:link w:val="4"/>
    <w:qFormat/>
    <w:uiPriority w:val="9"/>
    <w:rPr>
      <w:rFonts w:ascii="Times New Roman" w:hAnsi="Times New Roman" w:eastAsia="宋体" w:cs="Times New Roman"/>
      <w:b/>
      <w:bCs/>
      <w:sz w:val="32"/>
      <w:szCs w:val="32"/>
    </w:rPr>
  </w:style>
  <w:style w:type="character" w:customStyle="1" w:styleId="69">
    <w:name w:val="标题 4 字符"/>
    <w:basedOn w:val="49"/>
    <w:link w:val="5"/>
    <w:qFormat/>
    <w:uiPriority w:val="99"/>
    <w:rPr>
      <w:rFonts w:ascii="Cambria" w:hAnsi="Cambria" w:eastAsia="宋体" w:cs="Times New Roman"/>
      <w:b/>
      <w:bCs/>
      <w:sz w:val="28"/>
      <w:szCs w:val="28"/>
    </w:rPr>
  </w:style>
  <w:style w:type="character" w:customStyle="1" w:styleId="70">
    <w:name w:val="标题 5 字符"/>
    <w:basedOn w:val="49"/>
    <w:link w:val="6"/>
    <w:qFormat/>
    <w:uiPriority w:val="0"/>
    <w:rPr>
      <w:rFonts w:ascii="Times New Roman" w:hAnsi="Times New Roman" w:eastAsia="宋体" w:cs="Times New Roman"/>
      <w:sz w:val="28"/>
      <w:szCs w:val="20"/>
    </w:rPr>
  </w:style>
  <w:style w:type="character" w:customStyle="1" w:styleId="71">
    <w:name w:val="标题 6 字符"/>
    <w:basedOn w:val="49"/>
    <w:link w:val="7"/>
    <w:qFormat/>
    <w:uiPriority w:val="0"/>
    <w:rPr>
      <w:rFonts w:ascii="Arial" w:hAnsi="Arial" w:eastAsia="黑体" w:cs="Times New Roman"/>
      <w:b/>
      <w:kern w:val="0"/>
      <w:sz w:val="24"/>
      <w:szCs w:val="20"/>
    </w:rPr>
  </w:style>
  <w:style w:type="character" w:customStyle="1" w:styleId="72">
    <w:name w:val="标题 7 字符"/>
    <w:basedOn w:val="49"/>
    <w:link w:val="8"/>
    <w:qFormat/>
    <w:uiPriority w:val="0"/>
    <w:rPr>
      <w:rFonts w:ascii="Times New Roman" w:hAnsi="Times New Roman" w:eastAsia="宋体" w:cs="Times New Roman"/>
      <w:b/>
      <w:kern w:val="0"/>
      <w:sz w:val="24"/>
      <w:szCs w:val="20"/>
    </w:rPr>
  </w:style>
  <w:style w:type="character" w:customStyle="1" w:styleId="73">
    <w:name w:val="标题 8 字符"/>
    <w:basedOn w:val="49"/>
    <w:link w:val="9"/>
    <w:qFormat/>
    <w:uiPriority w:val="0"/>
    <w:rPr>
      <w:rFonts w:ascii="Arial" w:hAnsi="Arial" w:eastAsia="黑体" w:cs="Times New Roman"/>
      <w:kern w:val="0"/>
      <w:sz w:val="24"/>
      <w:szCs w:val="20"/>
    </w:rPr>
  </w:style>
  <w:style w:type="character" w:customStyle="1" w:styleId="74">
    <w:name w:val="标题 9 字符"/>
    <w:basedOn w:val="49"/>
    <w:link w:val="10"/>
    <w:qFormat/>
    <w:uiPriority w:val="0"/>
    <w:rPr>
      <w:rFonts w:ascii="Arial" w:hAnsi="Arial" w:eastAsia="黑体" w:cs="Times New Roman"/>
      <w:kern w:val="0"/>
      <w:sz w:val="20"/>
      <w:szCs w:val="20"/>
    </w:rPr>
  </w:style>
  <w:style w:type="character" w:customStyle="1" w:styleId="75">
    <w:name w:val="正文缩进 字符"/>
    <w:link w:val="12"/>
    <w:qFormat/>
    <w:uiPriority w:val="0"/>
    <w:rPr>
      <w:rFonts w:ascii="Calibri" w:hAnsi="Calibri" w:eastAsia="楷体_GB2312" w:cs="Times New Roman"/>
      <w:kern w:val="0"/>
      <w:sz w:val="24"/>
      <w:szCs w:val="20"/>
    </w:rPr>
  </w:style>
  <w:style w:type="character" w:customStyle="1" w:styleId="76">
    <w:name w:val="文档结构图 字符"/>
    <w:basedOn w:val="49"/>
    <w:link w:val="14"/>
    <w:qFormat/>
    <w:uiPriority w:val="99"/>
    <w:rPr>
      <w:rFonts w:ascii="宋体" w:hAnsi="Times New Roman" w:eastAsia="宋体" w:cs="Times New Roman"/>
      <w:kern w:val="0"/>
      <w:sz w:val="18"/>
      <w:szCs w:val="18"/>
    </w:rPr>
  </w:style>
  <w:style w:type="character" w:customStyle="1" w:styleId="77">
    <w:name w:val="批注文字 字符"/>
    <w:basedOn w:val="49"/>
    <w:link w:val="16"/>
    <w:qFormat/>
    <w:uiPriority w:val="99"/>
    <w:rPr>
      <w:rFonts w:ascii="Times New Roman" w:hAnsi="Times New Roman" w:eastAsia="宋体" w:cs="Times New Roman"/>
    </w:rPr>
  </w:style>
  <w:style w:type="character" w:customStyle="1" w:styleId="78">
    <w:name w:val="正文文本缩进 字符"/>
    <w:basedOn w:val="49"/>
    <w:link w:val="20"/>
    <w:qFormat/>
    <w:uiPriority w:val="0"/>
    <w:rPr>
      <w:rFonts w:ascii="Times New Roman" w:hAnsi="Times New Roman" w:eastAsia="宋体" w:cs="Times New Roman"/>
    </w:rPr>
  </w:style>
  <w:style w:type="character" w:customStyle="1" w:styleId="79">
    <w:name w:val="纯文本 字符"/>
    <w:basedOn w:val="49"/>
    <w:link w:val="25"/>
    <w:qFormat/>
    <w:uiPriority w:val="0"/>
    <w:rPr>
      <w:rFonts w:ascii="宋体" w:hAnsi="Courier New" w:eastAsia="宋体" w:cs="Times New Roman"/>
      <w:szCs w:val="20"/>
    </w:rPr>
  </w:style>
  <w:style w:type="character" w:customStyle="1" w:styleId="80">
    <w:name w:val="批注框文本 字符"/>
    <w:basedOn w:val="49"/>
    <w:link w:val="29"/>
    <w:qFormat/>
    <w:uiPriority w:val="99"/>
    <w:rPr>
      <w:rFonts w:ascii="Times New Roman" w:hAnsi="Times New Roman"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kern w:val="0"/>
      <w:sz w:val="18"/>
      <w:szCs w:val="18"/>
    </w:rPr>
  </w:style>
  <w:style w:type="character" w:customStyle="1" w:styleId="82">
    <w:name w:val="页眉 字符"/>
    <w:basedOn w:val="49"/>
    <w:link w:val="32"/>
    <w:qFormat/>
    <w:uiPriority w:val="0"/>
    <w:rPr>
      <w:rFonts w:ascii="Times New Roman" w:hAnsi="Times New Roman" w:eastAsia="宋体" w:cs="Times New Roman"/>
      <w:kern w:val="0"/>
      <w:sz w:val="18"/>
      <w:szCs w:val="18"/>
    </w:rPr>
  </w:style>
  <w:style w:type="character" w:customStyle="1" w:styleId="83">
    <w:name w:val="批注主题 字符"/>
    <w:basedOn w:val="77"/>
    <w:link w:val="44"/>
    <w:qFormat/>
    <w:uiPriority w:val="99"/>
    <w:rPr>
      <w:rFonts w:ascii="Times New Roman" w:hAnsi="Times New Roman" w:eastAsia="宋体" w:cs="Times New Roman"/>
      <w:b/>
      <w:bCs/>
    </w:rPr>
  </w:style>
  <w:style w:type="character" w:customStyle="1" w:styleId="84">
    <w:name w:val="正文文本首行缩进 2 字符"/>
    <w:basedOn w:val="78"/>
    <w:link w:val="46"/>
    <w:qFormat/>
    <w:uiPriority w:val="99"/>
    <w:rPr>
      <w:rFonts w:ascii="Times New Roman" w:hAnsi="Times New Roman" w:eastAsia="宋体" w:cs="Times New Roman"/>
    </w:rPr>
  </w:style>
  <w:style w:type="character" w:customStyle="1" w:styleId="85">
    <w:name w:val="正文缩进2格 Char"/>
    <w:link w:val="86"/>
    <w:qFormat/>
    <w:uiPriority w:val="0"/>
    <w:rPr>
      <w:rFonts w:ascii="仿宋_GB2312" w:hAnsi="宋体" w:eastAsia="仿宋_GB2312" w:cs="仿宋_GB2312"/>
      <w:sz w:val="31"/>
      <w:szCs w:val="28"/>
    </w:rPr>
  </w:style>
  <w:style w:type="paragraph" w:customStyle="1" w:styleId="86">
    <w:name w:val="正文缩进2格"/>
    <w:basedOn w:val="1"/>
    <w:link w:val="85"/>
    <w:qFormat/>
    <w:uiPriority w:val="0"/>
    <w:pPr>
      <w:wordWrap w:val="0"/>
      <w:spacing w:line="600" w:lineRule="exact"/>
      <w:ind w:firstLine="639" w:firstLineChars="206"/>
    </w:pPr>
    <w:rPr>
      <w:rFonts w:ascii="仿宋_GB2312" w:hAnsi="宋体" w:eastAsia="仿宋_GB2312" w:cs="仿宋_GB2312"/>
      <w:sz w:val="31"/>
      <w:szCs w:val="28"/>
    </w:rPr>
  </w:style>
  <w:style w:type="character" w:customStyle="1" w:styleId="87">
    <w:name w:val="NormalCharacter"/>
    <w:qFormat/>
    <w:uiPriority w:val="0"/>
    <w:rPr>
      <w:rFonts w:ascii="Times New Roman" w:hAnsi="Times New Roman" w:eastAsia="宋体" w:cs="Times New Roman"/>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3">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styleId="99">
    <w:name w:val="List Paragraph"/>
    <w:basedOn w:val="1"/>
    <w:qFormat/>
    <w:uiPriority w:val="34"/>
    <w:pPr>
      <w:ind w:firstLine="420" w:firstLineChars="200"/>
    </w:pPr>
  </w:style>
  <w:style w:type="table" w:customStyle="1" w:styleId="100">
    <w:name w:val="网格型1"/>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
    <w:name w:val="网格型2"/>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2">
    <w:name w:val="UserStyle_18"/>
    <w:qFormat/>
    <w:uiPriority w:val="0"/>
    <w:rPr>
      <w:rFonts w:ascii="MS Mincho" w:hAnsi="等线 Light" w:eastAsia="宋体" w:cs="Times New Roman"/>
      <w:color w:val="000000"/>
      <w:sz w:val="24"/>
      <w:szCs w:val="24"/>
      <w:lang w:val="en-US" w:eastAsia="zh-CN" w:bidi="ar-SA"/>
    </w:rPr>
  </w:style>
  <w:style w:type="character" w:customStyle="1" w:styleId="103">
    <w:name w:val="font41"/>
    <w:qFormat/>
    <w:uiPriority w:val="0"/>
    <w:rPr>
      <w:rFonts w:hint="eastAsia" w:ascii="微软雅黑" w:hAnsi="微软雅黑" w:eastAsia="微软雅黑" w:cs="微软雅黑"/>
      <w:color w:val="000000"/>
      <w:sz w:val="20"/>
      <w:szCs w:val="20"/>
      <w:u w:val="none"/>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文档结构图 Char1"/>
    <w:semiHidden/>
    <w:qFormat/>
    <w:uiPriority w:val="99"/>
    <w:rPr>
      <w:rFonts w:ascii="宋体"/>
      <w:kern w:val="2"/>
      <w:sz w:val="18"/>
      <w:szCs w:val="18"/>
    </w:rPr>
  </w:style>
  <w:style w:type="character" w:customStyle="1" w:styleId="106">
    <w:name w:val="称呼 Char"/>
    <w:basedOn w:val="49"/>
    <w:qFormat/>
    <w:uiPriority w:val="99"/>
    <w:rPr>
      <w:rFonts w:ascii="Times New Roman" w:hAnsi="Times New Roman" w:eastAsia="宋体" w:cs="Times New Roman"/>
    </w:rPr>
  </w:style>
  <w:style w:type="character" w:customStyle="1" w:styleId="107">
    <w:name w:val="称呼 字符"/>
    <w:link w:val="17"/>
    <w:qFormat/>
    <w:uiPriority w:val="99"/>
    <w:rPr>
      <w:rFonts w:ascii="Times New Roman" w:hAnsi="Times New Roman" w:eastAsia="宋体" w:cs="Times New Roman"/>
      <w:kern w:val="0"/>
      <w:sz w:val="30"/>
      <w:szCs w:val="20"/>
    </w:rPr>
  </w:style>
  <w:style w:type="character" w:customStyle="1" w:styleId="108">
    <w:name w:val="正文文本 3 Char"/>
    <w:basedOn w:val="49"/>
    <w:qFormat/>
    <w:uiPriority w:val="0"/>
    <w:rPr>
      <w:rFonts w:ascii="Times New Roman" w:hAnsi="Times New Roman" w:eastAsia="宋体" w:cs="Times New Roman"/>
      <w:sz w:val="16"/>
      <w:szCs w:val="16"/>
    </w:rPr>
  </w:style>
  <w:style w:type="character" w:customStyle="1" w:styleId="109">
    <w:name w:val="正文文本 3 字符"/>
    <w:link w:val="18"/>
    <w:qFormat/>
    <w:uiPriority w:val="0"/>
    <w:rPr>
      <w:rFonts w:ascii="Times New Roman" w:hAnsi="Times New Roman" w:eastAsia="宋体" w:cs="Times New Roman"/>
      <w:color w:val="000000"/>
      <w:kern w:val="0"/>
      <w:sz w:val="24"/>
      <w:szCs w:val="20"/>
    </w:rPr>
  </w:style>
  <w:style w:type="character" w:customStyle="1" w:styleId="110">
    <w:name w:val="正文文本 Char"/>
    <w:basedOn w:val="49"/>
    <w:qFormat/>
    <w:uiPriority w:val="99"/>
    <w:rPr>
      <w:rFonts w:ascii="Times New Roman" w:hAnsi="Times New Roman" w:eastAsia="宋体" w:cs="Times New Roman"/>
    </w:rPr>
  </w:style>
  <w:style w:type="character" w:customStyle="1" w:styleId="111">
    <w:name w:val="正文文本 字符"/>
    <w:link w:val="19"/>
    <w:qFormat/>
    <w:uiPriority w:val="0"/>
    <w:rPr>
      <w:rFonts w:ascii="Times New Roman" w:hAnsi="Times New Roman" w:eastAsia="宋体" w:cs="Times New Roman"/>
      <w:szCs w:val="24"/>
    </w:rPr>
  </w:style>
  <w:style w:type="character" w:customStyle="1" w:styleId="112">
    <w:name w:val="日期 字符"/>
    <w:basedOn w:val="49"/>
    <w:link w:val="27"/>
    <w:qFormat/>
    <w:uiPriority w:val="99"/>
    <w:rPr>
      <w:rFonts w:ascii="Times New Roman" w:hAnsi="Times New Roman" w:eastAsia="宋体" w:cs="Times New Roman"/>
      <w:szCs w:val="24"/>
    </w:rPr>
  </w:style>
  <w:style w:type="character" w:customStyle="1" w:styleId="113">
    <w:name w:val="正文文本缩进 2 Char"/>
    <w:basedOn w:val="49"/>
    <w:qFormat/>
    <w:uiPriority w:val="0"/>
    <w:rPr>
      <w:rFonts w:ascii="Times New Roman" w:hAnsi="Times New Roman" w:eastAsia="宋体" w:cs="Times New Roman"/>
    </w:rPr>
  </w:style>
  <w:style w:type="character" w:customStyle="1" w:styleId="114">
    <w:name w:val="正文文本缩进 2 字符"/>
    <w:link w:val="28"/>
    <w:qFormat/>
    <w:uiPriority w:val="0"/>
    <w:rPr>
      <w:rFonts w:ascii="楷体_GB2312" w:hAnsi="Times New Roman" w:eastAsia="楷体_GB2312" w:cs="Times New Roman"/>
      <w:b/>
      <w:spacing w:val="-24"/>
      <w:kern w:val="0"/>
      <w:sz w:val="28"/>
      <w:szCs w:val="20"/>
    </w:rPr>
  </w:style>
  <w:style w:type="character" w:customStyle="1" w:styleId="115">
    <w:name w:val="副标题 Char"/>
    <w:basedOn w:val="49"/>
    <w:link w:val="116"/>
    <w:qFormat/>
    <w:uiPriority w:val="0"/>
    <w:rPr>
      <w:rFonts w:eastAsia="宋体" w:asciiTheme="majorHAnsi" w:hAnsiTheme="majorHAnsi" w:cstheme="majorBidi"/>
      <w:b/>
      <w:bCs/>
      <w:kern w:val="28"/>
      <w:sz w:val="32"/>
      <w:szCs w:val="32"/>
    </w:rPr>
  </w:style>
  <w:style w:type="paragraph" w:customStyle="1" w:styleId="116">
    <w:name w:val="副标题1"/>
    <w:basedOn w:val="1"/>
    <w:next w:val="1"/>
    <w:link w:val="115"/>
    <w:qFormat/>
    <w:uiPriority w:val="0"/>
    <w:pPr>
      <w:spacing w:before="120" w:after="120"/>
      <w:jc w:val="left"/>
    </w:pPr>
    <w:rPr>
      <w:rFonts w:asciiTheme="majorHAnsi" w:hAnsiTheme="majorHAnsi" w:cstheme="majorBidi"/>
      <w:b/>
      <w:bCs/>
      <w:kern w:val="28"/>
      <w:sz w:val="32"/>
      <w:szCs w:val="32"/>
    </w:rPr>
  </w:style>
  <w:style w:type="character" w:customStyle="1" w:styleId="117">
    <w:name w:val="副标题 字符"/>
    <w:link w:val="35"/>
    <w:qFormat/>
    <w:uiPriority w:val="0"/>
    <w:rPr>
      <w:rFonts w:ascii="Cambria" w:hAnsi="Cambria" w:eastAsia="宋体" w:cs="Times New Roman"/>
      <w:b/>
      <w:kern w:val="28"/>
      <w:sz w:val="32"/>
      <w:szCs w:val="20"/>
    </w:rPr>
  </w:style>
  <w:style w:type="character" w:customStyle="1" w:styleId="118">
    <w:name w:val="正文文本缩进 3 Char"/>
    <w:basedOn w:val="49"/>
    <w:qFormat/>
    <w:uiPriority w:val="0"/>
    <w:rPr>
      <w:rFonts w:ascii="Times New Roman" w:hAnsi="Times New Roman" w:eastAsia="宋体" w:cs="Times New Roman"/>
      <w:sz w:val="16"/>
      <w:szCs w:val="16"/>
    </w:rPr>
  </w:style>
  <w:style w:type="character" w:customStyle="1" w:styleId="119">
    <w:name w:val="正文文本缩进 3 字符"/>
    <w:link w:val="37"/>
    <w:qFormat/>
    <w:uiPriority w:val="0"/>
    <w:rPr>
      <w:rFonts w:ascii="宋体" w:hAnsi="Times New Roman" w:eastAsia="宋体" w:cs="Times New Roman"/>
      <w:kern w:val="0"/>
      <w:sz w:val="24"/>
      <w:szCs w:val="20"/>
    </w:rPr>
  </w:style>
  <w:style w:type="character" w:customStyle="1" w:styleId="120">
    <w:name w:val="正文文本 2 字符"/>
    <w:basedOn w:val="49"/>
    <w:link w:val="40"/>
    <w:qFormat/>
    <w:uiPriority w:val="0"/>
    <w:rPr>
      <w:rFonts w:ascii="Times New Roman" w:hAnsi="Times New Roman" w:eastAsia="宋体" w:cs="Times New Roman"/>
      <w:szCs w:val="24"/>
    </w:rPr>
  </w:style>
  <w:style w:type="character" w:customStyle="1" w:styleId="121">
    <w:name w:val="HTML 预设格式 Char"/>
    <w:basedOn w:val="49"/>
    <w:qFormat/>
    <w:uiPriority w:val="0"/>
    <w:rPr>
      <w:rFonts w:ascii="Courier New" w:hAnsi="Courier New" w:eastAsia="宋体" w:cs="Courier New"/>
      <w:sz w:val="20"/>
      <w:szCs w:val="20"/>
    </w:rPr>
  </w:style>
  <w:style w:type="character" w:customStyle="1" w:styleId="122">
    <w:name w:val="HTML 预设格式 字符"/>
    <w:link w:val="41"/>
    <w:qFormat/>
    <w:uiPriority w:val="0"/>
    <w:rPr>
      <w:rFonts w:ascii="Arial" w:hAnsi="Arial" w:eastAsia="宋体" w:cs="Times New Roman"/>
      <w:kern w:val="0"/>
      <w:sz w:val="24"/>
      <w:szCs w:val="24"/>
    </w:rPr>
  </w:style>
  <w:style w:type="character" w:customStyle="1" w:styleId="123">
    <w:name w:val="标题 字符1"/>
    <w:basedOn w:val="49"/>
    <w:link w:val="43"/>
    <w:qFormat/>
    <w:uiPriority w:val="0"/>
    <w:rPr>
      <w:rFonts w:ascii="Arial" w:hAnsi="Arial" w:eastAsia="宋体" w:cs="Times New Roman"/>
      <w:b/>
      <w:bCs/>
      <w:sz w:val="32"/>
      <w:szCs w:val="32"/>
    </w:rPr>
  </w:style>
  <w:style w:type="character" w:customStyle="1" w:styleId="124">
    <w:name w:val="正文首行缩进 Char"/>
    <w:basedOn w:val="110"/>
    <w:qFormat/>
    <w:uiPriority w:val="0"/>
    <w:rPr>
      <w:rFonts w:ascii="Times New Roman" w:hAnsi="Times New Roman" w:eastAsia="宋体" w:cs="Times New Roman"/>
    </w:rPr>
  </w:style>
  <w:style w:type="character" w:customStyle="1" w:styleId="125">
    <w:name w:val="正文文本首行缩进 字符"/>
    <w:basedOn w:val="111"/>
    <w:link w:val="45"/>
    <w:qFormat/>
    <w:uiPriority w:val="0"/>
    <w:rPr>
      <w:rFonts w:ascii="Times New Roman" w:hAnsi="Times New Roman" w:eastAsia="宋体" w:cs="Times New Roman"/>
      <w:kern w:val="0"/>
      <w:sz w:val="20"/>
      <w:szCs w:val="24"/>
    </w:rPr>
  </w:style>
  <w:style w:type="character" w:customStyle="1" w:styleId="126">
    <w:name w:val="Char Char4"/>
    <w:qFormat/>
    <w:locked/>
    <w:uiPriority w:val="0"/>
    <w:rPr>
      <w:szCs w:val="24"/>
    </w:rPr>
  </w:style>
  <w:style w:type="character" w:customStyle="1" w:styleId="127">
    <w:name w:val="正文缩进2格 Char Char"/>
    <w:qFormat/>
    <w:uiPriority w:val="0"/>
    <w:rPr>
      <w:rFonts w:ascii="仿宋_GB2312" w:hAnsi="宋体" w:eastAsia="仿宋_GB2312"/>
      <w:kern w:val="2"/>
      <w:sz w:val="31"/>
      <w:szCs w:val="28"/>
      <w:lang w:val="en-US" w:eastAsia="zh-CN" w:bidi="ar-SA"/>
    </w:rPr>
  </w:style>
  <w:style w:type="character" w:customStyle="1" w:styleId="128">
    <w:name w:val="font31"/>
    <w:qFormat/>
    <w:uiPriority w:val="0"/>
    <w:rPr>
      <w:rFonts w:hint="eastAsia" w:ascii="宋体" w:hAnsi="宋体" w:eastAsia="宋体" w:cs="宋体"/>
      <w:color w:val="000000"/>
      <w:sz w:val="16"/>
      <w:szCs w:val="16"/>
      <w:u w:val="none"/>
    </w:rPr>
  </w:style>
  <w:style w:type="character" w:customStyle="1" w:styleId="129">
    <w:name w:val="四号 Char1"/>
    <w:qFormat/>
    <w:uiPriority w:val="0"/>
    <w:rPr>
      <w:rFonts w:ascii="Verdana" w:hAnsi="Verdana" w:eastAsia="宋体" w:cs="Verdana"/>
      <w:sz w:val="24"/>
      <w:szCs w:val="24"/>
      <w:lang w:val="en-US" w:eastAsia="zh-CN" w:bidi="ar-SA"/>
    </w:rPr>
  </w:style>
  <w:style w:type="character" w:customStyle="1" w:styleId="130">
    <w:name w:val="标题 1 Char Char"/>
    <w:qFormat/>
    <w:uiPriority w:val="0"/>
    <w:rPr>
      <w:rFonts w:eastAsia="宋体"/>
      <w:b/>
      <w:spacing w:val="-2"/>
      <w:sz w:val="24"/>
      <w:lang w:val="en-US" w:eastAsia="zh-CN"/>
    </w:rPr>
  </w:style>
  <w:style w:type="paragraph" w:customStyle="1" w:styleId="1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BodyText"/>
    <w:basedOn w:val="1"/>
    <w:link w:val="133"/>
    <w:qFormat/>
    <w:uiPriority w:val="0"/>
    <w:pPr>
      <w:spacing w:before="100" w:beforeAutospacing="1" w:line="360" w:lineRule="atLeast"/>
      <w:ind w:left="30" w:leftChars="30" w:right="30" w:rightChars="30"/>
      <w:jc w:val="center"/>
    </w:pPr>
    <w:rPr>
      <w:rFonts w:ascii="Segoe UI Emoji" w:hAnsi="Segoe UI Emoji" w:eastAsia="MS Mincho"/>
      <w:kern w:val="0"/>
      <w:sz w:val="20"/>
      <w:szCs w:val="20"/>
    </w:rPr>
  </w:style>
  <w:style w:type="character" w:customStyle="1" w:styleId="133">
    <w:name w:val="UserStyle_4"/>
    <w:link w:val="132"/>
    <w:qFormat/>
    <w:uiPriority w:val="0"/>
    <w:rPr>
      <w:rFonts w:ascii="Segoe UI Emoji" w:hAnsi="Segoe UI Emoji" w:eastAsia="MS Mincho" w:cs="Times New Roman"/>
      <w:kern w:val="0"/>
      <w:sz w:val="20"/>
      <w:szCs w:val="20"/>
    </w:rPr>
  </w:style>
  <w:style w:type="paragraph" w:customStyle="1" w:styleId="134">
    <w:name w:val="标准正文"/>
    <w:basedOn w:val="1"/>
    <w:qFormat/>
    <w:uiPriority w:val="0"/>
    <w:pPr>
      <w:snapToGrid w:val="0"/>
      <w:spacing w:line="312" w:lineRule="auto"/>
      <w:ind w:firstLine="482"/>
    </w:pPr>
    <w:rPr>
      <w:sz w:val="24"/>
      <w:szCs w:val="20"/>
    </w:rPr>
  </w:style>
  <w:style w:type="paragraph" w:customStyle="1" w:styleId="135">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3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标题3"/>
    <w:basedOn w:val="43"/>
    <w:qFormat/>
    <w:uiPriority w:val="0"/>
    <w:pPr>
      <w:spacing w:before="120" w:after="120" w:line="560" w:lineRule="exact"/>
      <w:jc w:val="left"/>
    </w:pPr>
    <w:rPr>
      <w:rFonts w:ascii="仿宋_GB2312"/>
      <w:sz w:val="28"/>
    </w:rPr>
  </w:style>
  <w:style w:type="paragraph" w:customStyle="1" w:styleId="138">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39">
    <w:name w:val="纯文本1"/>
    <w:basedOn w:val="1"/>
    <w:qFormat/>
    <w:uiPriority w:val="0"/>
    <w:rPr>
      <w:rFonts w:ascii="宋体" w:hAnsi="Courier New" w:eastAsia="Times New Roman"/>
      <w:szCs w:val="20"/>
    </w:rPr>
  </w:style>
  <w:style w:type="paragraph" w:customStyle="1" w:styleId="140">
    <w:name w:val="Heading4"/>
    <w:basedOn w:val="1"/>
    <w:next w:val="1"/>
    <w:qFormat/>
    <w:uiPriority w:val="0"/>
    <w:pPr>
      <w:keepNext/>
      <w:keepLines/>
      <w:spacing w:line="360" w:lineRule="auto"/>
    </w:pPr>
    <w:rPr>
      <w:rFonts w:ascii="Cambria Math" w:hAnsi="Cambria Math"/>
      <w:kern w:val="0"/>
      <w:sz w:val="24"/>
      <w:szCs w:val="28"/>
    </w:rPr>
  </w:style>
  <w:style w:type="paragraph" w:customStyle="1" w:styleId="141">
    <w:name w:val="Heading3"/>
    <w:basedOn w:val="1"/>
    <w:next w:val="1"/>
    <w:qFormat/>
    <w:uiPriority w:val="0"/>
    <w:pPr>
      <w:keepNext/>
      <w:keepLines/>
      <w:spacing w:line="412" w:lineRule="auto"/>
    </w:pPr>
    <w:rPr>
      <w:kern w:val="0"/>
      <w:sz w:val="32"/>
      <w:szCs w:val="32"/>
    </w:rPr>
  </w:style>
  <w:style w:type="character" w:customStyle="1" w:styleId="142">
    <w:name w:val="UserStyle_8"/>
    <w:link w:val="143"/>
    <w:qFormat/>
    <w:uiPriority w:val="0"/>
    <w:rPr>
      <w:sz w:val="18"/>
      <w:szCs w:val="18"/>
    </w:rPr>
  </w:style>
  <w:style w:type="paragraph" w:customStyle="1" w:styleId="143">
    <w:name w:val="Acetate"/>
    <w:basedOn w:val="1"/>
    <w:link w:val="142"/>
    <w:qFormat/>
    <w:uiPriority w:val="0"/>
    <w:pPr>
      <w:widowControl/>
    </w:pPr>
    <w:rPr>
      <w:rFonts w:asciiTheme="minorHAnsi" w:hAnsiTheme="minorHAnsi" w:eastAsiaTheme="minorEastAsia" w:cstheme="minorBidi"/>
      <w:sz w:val="18"/>
      <w:szCs w:val="18"/>
    </w:rPr>
  </w:style>
  <w:style w:type="character" w:customStyle="1" w:styleId="144">
    <w:name w:val="批注文字 Char2"/>
    <w:qFormat/>
    <w:uiPriority w:val="0"/>
    <w:rPr>
      <w:rFonts w:eastAsia="宋体"/>
      <w:kern w:val="2"/>
      <w:sz w:val="21"/>
      <w:szCs w:val="24"/>
      <w:lang w:val="en-US" w:eastAsia="zh-CN" w:bidi="ar-SA"/>
    </w:rPr>
  </w:style>
  <w:style w:type="character" w:customStyle="1" w:styleId="145">
    <w:name w:val="UserStyle_11"/>
    <w:qFormat/>
    <w:uiPriority w:val="0"/>
    <w:rPr>
      <w:rFonts w:ascii="等线 Light" w:hAnsi="等线 Light" w:eastAsia="MS Mincho" w:cs="MS Mincho"/>
      <w:b/>
      <w:bCs/>
      <w:sz w:val="28"/>
      <w:szCs w:val="28"/>
    </w:rPr>
  </w:style>
  <w:style w:type="character" w:customStyle="1" w:styleId="146">
    <w:name w:val="apple-converted-space"/>
    <w:qFormat/>
    <w:uiPriority w:val="0"/>
    <w:rPr>
      <w:sz w:val="20"/>
    </w:rPr>
  </w:style>
  <w:style w:type="character" w:customStyle="1" w:styleId="147">
    <w:name w:val="UserStyle_2"/>
    <w:qFormat/>
    <w:uiPriority w:val="0"/>
    <w:rPr>
      <w:color w:val="605E5C"/>
      <w:shd w:val="clear" w:color="auto" w:fill="E1DFDD"/>
    </w:rPr>
  </w:style>
  <w:style w:type="character" w:customStyle="1" w:styleId="148">
    <w:name w:val="UserStyle_3"/>
    <w:qFormat/>
    <w:uiPriority w:val="0"/>
    <w:rPr>
      <w:rFonts w:ascii="Cambria Math" w:hAnsi="Cambria Math" w:eastAsia="MS Mincho" w:cs="MS Mincho"/>
      <w:b/>
      <w:bCs/>
      <w:sz w:val="24"/>
      <w:szCs w:val="28"/>
    </w:rPr>
  </w:style>
  <w:style w:type="character" w:customStyle="1" w:styleId="149">
    <w:name w:val="UserStyle_6"/>
    <w:qFormat/>
    <w:uiPriority w:val="0"/>
    <w:rPr>
      <w:rFonts w:ascii="等线 Light" w:hAnsi="等线 Light"/>
      <w:color w:val="0000FF"/>
      <w:u w:val="single"/>
    </w:rPr>
  </w:style>
  <w:style w:type="character" w:customStyle="1" w:styleId="150">
    <w:name w:val="UserStyle_13"/>
    <w:qFormat/>
    <w:uiPriority w:val="0"/>
    <w:rPr>
      <w:rFonts w:ascii="等线 Light" w:hAnsi="等线 Light" w:eastAsia="MS Mincho" w:cs="MS Mincho"/>
      <w:b/>
      <w:bCs/>
      <w:sz w:val="32"/>
      <w:szCs w:val="32"/>
    </w:rPr>
  </w:style>
  <w:style w:type="character" w:customStyle="1" w:styleId="151">
    <w:name w:val="UserStyle_7"/>
    <w:semiHidden/>
    <w:qFormat/>
    <w:uiPriority w:val="0"/>
    <w:rPr>
      <w:sz w:val="16"/>
      <w:szCs w:val="16"/>
    </w:rPr>
  </w:style>
  <w:style w:type="character" w:customStyle="1" w:styleId="152">
    <w:name w:val="标题 字符"/>
    <w:qFormat/>
    <w:uiPriority w:val="10"/>
    <w:rPr>
      <w:rFonts w:ascii="等线 Light" w:hAnsi="等线 Light" w:cs="Times New Roman"/>
      <w:b/>
      <w:bCs/>
      <w:kern w:val="2"/>
      <w:sz w:val="32"/>
      <w:szCs w:val="32"/>
    </w:rPr>
  </w:style>
  <w:style w:type="character" w:customStyle="1" w:styleId="153">
    <w:name w:val="UserStyle_14"/>
    <w:link w:val="154"/>
    <w:semiHidden/>
    <w:qFormat/>
    <w:uiPriority w:val="0"/>
    <w:rPr>
      <w:rFonts w:eastAsia="MS Mincho"/>
      <w:szCs w:val="24"/>
    </w:rPr>
  </w:style>
  <w:style w:type="paragraph" w:customStyle="1" w:styleId="154">
    <w:name w:val="AnnotationText"/>
    <w:basedOn w:val="1"/>
    <w:link w:val="153"/>
    <w:semiHidden/>
    <w:qFormat/>
    <w:uiPriority w:val="0"/>
    <w:pPr>
      <w:widowControl/>
      <w:jc w:val="left"/>
    </w:pPr>
    <w:rPr>
      <w:rFonts w:eastAsia="MS Mincho" w:asciiTheme="minorHAnsi" w:hAnsiTheme="minorHAnsi" w:cstheme="minorBidi"/>
      <w:szCs w:val="24"/>
    </w:rPr>
  </w:style>
  <w:style w:type="character" w:customStyle="1" w:styleId="155">
    <w:name w:val="UserStyle_24"/>
    <w:link w:val="156"/>
    <w:semiHidden/>
    <w:qFormat/>
    <w:uiPriority w:val="0"/>
    <w:rPr>
      <w:rFonts w:ascii="等线 Light" w:hAnsi="等线 Light"/>
    </w:rPr>
  </w:style>
  <w:style w:type="paragraph" w:customStyle="1" w:styleId="156">
    <w:name w:val="EndnoteText"/>
    <w:basedOn w:val="1"/>
    <w:link w:val="155"/>
    <w:semiHidden/>
    <w:qFormat/>
    <w:uiPriority w:val="0"/>
    <w:pPr>
      <w:widowControl/>
      <w:snapToGrid w:val="0"/>
      <w:jc w:val="left"/>
    </w:pPr>
    <w:rPr>
      <w:rFonts w:ascii="等线 Light" w:hAnsi="等线 Light" w:eastAsiaTheme="minorEastAsia" w:cstheme="minorBidi"/>
    </w:rPr>
  </w:style>
  <w:style w:type="character" w:customStyle="1" w:styleId="157">
    <w:name w:val="批注文字 字符1"/>
    <w:semiHidden/>
    <w:qFormat/>
    <w:uiPriority w:val="99"/>
    <w:rPr>
      <w:rFonts w:ascii="等线 Light" w:hAnsi="等线 Light"/>
      <w:kern w:val="2"/>
      <w:sz w:val="21"/>
      <w:szCs w:val="22"/>
    </w:rPr>
  </w:style>
  <w:style w:type="character" w:customStyle="1" w:styleId="158">
    <w:name w:val="批注文字 Char1"/>
    <w:semiHidden/>
    <w:qFormat/>
    <w:uiPriority w:val="0"/>
    <w:rPr>
      <w:kern w:val="2"/>
      <w:sz w:val="21"/>
      <w:szCs w:val="24"/>
    </w:rPr>
  </w:style>
  <w:style w:type="character" w:customStyle="1" w:styleId="159">
    <w:name w:val="UserStyle_5"/>
    <w:basedOn w:val="87"/>
    <w:semiHidden/>
    <w:qFormat/>
    <w:uiPriority w:val="0"/>
    <w:rPr>
      <w:rFonts w:ascii="Times New Roman" w:hAnsi="Times New Roman" w:eastAsia="宋体" w:cs="Times New Roman"/>
    </w:rPr>
  </w:style>
  <w:style w:type="character" w:customStyle="1" w:styleId="160">
    <w:name w:val="UserStyle_16"/>
    <w:link w:val="161"/>
    <w:qFormat/>
    <w:uiPriority w:val="0"/>
    <w:rPr>
      <w:rFonts w:ascii="Segoe UI Emoji" w:hAnsi="Segoe UI Emoji" w:eastAsia="MS Mincho"/>
      <w:sz w:val="16"/>
      <w:szCs w:val="16"/>
    </w:rPr>
  </w:style>
  <w:style w:type="paragraph" w:customStyle="1" w:styleId="161">
    <w:name w:val="BodyText3"/>
    <w:basedOn w:val="1"/>
    <w:link w:val="160"/>
    <w:qFormat/>
    <w:uiPriority w:val="0"/>
    <w:pPr>
      <w:widowControl/>
      <w:spacing w:after="120"/>
    </w:pPr>
    <w:rPr>
      <w:rFonts w:ascii="Segoe UI Emoji" w:hAnsi="Segoe UI Emoji" w:eastAsia="MS Mincho" w:cstheme="minorBidi"/>
      <w:sz w:val="16"/>
      <w:szCs w:val="16"/>
    </w:rPr>
  </w:style>
  <w:style w:type="character" w:customStyle="1" w:styleId="162">
    <w:name w:val="UserStyle_12"/>
    <w:link w:val="163"/>
    <w:qFormat/>
    <w:uiPriority w:val="0"/>
    <w:rPr>
      <w:rFonts w:ascii="MS Mincho" w:eastAsia="MS Mincho"/>
      <w:sz w:val="18"/>
      <w:szCs w:val="18"/>
    </w:rPr>
  </w:style>
  <w:style w:type="paragraph" w:customStyle="1" w:styleId="163">
    <w:name w:val="NavPane"/>
    <w:basedOn w:val="1"/>
    <w:link w:val="162"/>
    <w:qFormat/>
    <w:uiPriority w:val="0"/>
    <w:pPr>
      <w:widowControl/>
    </w:pPr>
    <w:rPr>
      <w:rFonts w:ascii="MS Mincho" w:eastAsia="MS Mincho" w:hAnsiTheme="minorHAnsi" w:cstheme="minorBidi"/>
      <w:sz w:val="18"/>
      <w:szCs w:val="18"/>
    </w:rPr>
  </w:style>
  <w:style w:type="character" w:customStyle="1" w:styleId="164">
    <w:name w:val="UserStyle_10"/>
    <w:qFormat/>
    <w:uiPriority w:val="0"/>
    <w:rPr>
      <w:rFonts w:ascii="Segoe UI Emoji" w:hAnsi="Segoe UI Emoji" w:eastAsia="MS Mincho" w:cs="Segoe UI Emoji"/>
      <w:b/>
      <w:bCs/>
      <w:kern w:val="44"/>
      <w:sz w:val="32"/>
      <w:szCs w:val="44"/>
    </w:rPr>
  </w:style>
  <w:style w:type="character" w:customStyle="1" w:styleId="165">
    <w:name w:val="未处理的提及1"/>
    <w:unhideWhenUsed/>
    <w:qFormat/>
    <w:uiPriority w:val="99"/>
    <w:rPr>
      <w:color w:val="605E5C"/>
      <w:shd w:val="clear" w:color="auto" w:fill="E1DFDD"/>
    </w:rPr>
  </w:style>
  <w:style w:type="character" w:customStyle="1" w:styleId="166">
    <w:name w:val="纯文本 字符1"/>
    <w:semiHidden/>
    <w:qFormat/>
    <w:uiPriority w:val="99"/>
    <w:rPr>
      <w:rFonts w:ascii="Georgia" w:hAnsi="等线" w:eastAsia="Georgia" w:cs="等线"/>
      <w:kern w:val="2"/>
      <w:sz w:val="21"/>
      <w:szCs w:val="22"/>
    </w:rPr>
  </w:style>
  <w:style w:type="character" w:customStyle="1" w:styleId="167">
    <w:name w:val="未处理的提及11"/>
    <w:unhideWhenUsed/>
    <w:qFormat/>
    <w:uiPriority w:val="99"/>
    <w:rPr>
      <w:color w:val="605E5C"/>
      <w:shd w:val="clear" w:color="auto" w:fill="E1DFDD"/>
    </w:rPr>
  </w:style>
  <w:style w:type="character" w:customStyle="1" w:styleId="168">
    <w:name w:val="UserStyle_9"/>
    <w:qFormat/>
    <w:uiPriority w:val="0"/>
    <w:rPr>
      <w:rFonts w:ascii="Segoe UI Emoji" w:hAnsi="Segoe UI Emoji" w:eastAsia="MS Mincho" w:cs="Segoe UI Emoji"/>
      <w:b/>
      <w:bCs/>
      <w:sz w:val="24"/>
      <w:szCs w:val="32"/>
    </w:rPr>
  </w:style>
  <w:style w:type="character" w:customStyle="1" w:styleId="169">
    <w:name w:val="UserStyle_1"/>
    <w:qFormat/>
    <w:locked/>
    <w:uiPriority w:val="0"/>
    <w:rPr>
      <w:rFonts w:cs="Segoe UI Emoji"/>
      <w:b/>
      <w:bCs/>
      <w:kern w:val="44"/>
      <w:sz w:val="32"/>
      <w:szCs w:val="44"/>
    </w:rPr>
  </w:style>
  <w:style w:type="paragraph" w:customStyle="1" w:styleId="170">
    <w:name w:val="列出段落1"/>
    <w:basedOn w:val="1"/>
    <w:qFormat/>
    <w:uiPriority w:val="0"/>
    <w:pPr>
      <w:widowControl/>
      <w:ind w:firstLine="420" w:firstLineChars="200"/>
    </w:pPr>
    <w:rPr>
      <w:rFonts w:ascii="等线" w:hAnsi="等线" w:eastAsia="等线" w:cs="Segoe UI Emoji"/>
      <w:szCs w:val="21"/>
    </w:rPr>
  </w:style>
  <w:style w:type="paragraph" w:customStyle="1" w:styleId="171">
    <w:name w:val="179"/>
    <w:basedOn w:val="1"/>
    <w:qFormat/>
    <w:uiPriority w:val="0"/>
    <w:pPr>
      <w:widowControl/>
      <w:ind w:firstLine="420" w:firstLineChars="200"/>
    </w:pPr>
    <w:rPr>
      <w:rFonts w:ascii="等线 Light" w:hAnsi="等线 Light"/>
    </w:rPr>
  </w:style>
  <w:style w:type="paragraph" w:customStyle="1" w:styleId="172">
    <w:name w:val="UserStyle_17"/>
    <w:basedOn w:val="173"/>
    <w:next w:val="1"/>
    <w:qFormat/>
    <w:uiPriority w:val="0"/>
    <w:pPr>
      <w:keepNext/>
      <w:keepLines/>
      <w:spacing w:before="340" w:after="330" w:line="578" w:lineRule="auto"/>
      <w:jc w:val="both"/>
    </w:pPr>
    <w:rPr>
      <w:rFonts w:ascii="等线 Light" w:hAnsi="等线 Light"/>
      <w:sz w:val="44"/>
    </w:rPr>
  </w:style>
  <w:style w:type="paragraph" w:customStyle="1" w:styleId="173">
    <w:name w:val="Heading1"/>
    <w:basedOn w:val="1"/>
    <w:next w:val="1"/>
    <w:qFormat/>
    <w:uiPriority w:val="0"/>
    <w:pPr>
      <w:widowControl/>
      <w:spacing w:line="360" w:lineRule="auto"/>
      <w:jc w:val="center"/>
    </w:pPr>
    <w:rPr>
      <w:rFonts w:ascii="Segoe UI Emoji" w:hAnsi="Segoe UI Emoji"/>
      <w:kern w:val="44"/>
      <w:sz w:val="32"/>
      <w:szCs w:val="44"/>
    </w:rPr>
  </w:style>
  <w:style w:type="paragraph" w:customStyle="1" w:styleId="174">
    <w:name w:val="HtmlNormal"/>
    <w:basedOn w:val="1"/>
    <w:qFormat/>
    <w:uiPriority w:val="0"/>
    <w:pPr>
      <w:widowControl/>
      <w:spacing w:before="100" w:beforeAutospacing="1" w:after="100" w:afterAutospacing="1"/>
      <w:jc w:val="left"/>
    </w:pPr>
    <w:rPr>
      <w:rFonts w:ascii="等线 Light" w:hAnsi="等线 Light"/>
      <w:kern w:val="0"/>
      <w:sz w:val="24"/>
    </w:rPr>
  </w:style>
  <w:style w:type="paragraph" w:customStyle="1" w:styleId="175">
    <w:name w:val="TOC3"/>
    <w:basedOn w:val="1"/>
    <w:next w:val="1"/>
    <w:qFormat/>
    <w:uiPriority w:val="0"/>
    <w:pPr>
      <w:widowControl/>
      <w:spacing w:line="360" w:lineRule="auto"/>
      <w:ind w:left="400" w:leftChars="400"/>
    </w:pPr>
    <w:rPr>
      <w:rFonts w:ascii="等线 Light" w:hAnsi="等线 Light"/>
    </w:rPr>
  </w:style>
  <w:style w:type="paragraph" w:customStyle="1" w:styleId="176">
    <w:name w:val="Heading5"/>
    <w:basedOn w:val="1"/>
    <w:next w:val="1"/>
    <w:qFormat/>
    <w:uiPriority w:val="0"/>
    <w:pPr>
      <w:keepNext/>
      <w:keepLines/>
      <w:widowControl/>
      <w:spacing w:line="372" w:lineRule="auto"/>
    </w:pPr>
    <w:rPr>
      <w:rFonts w:ascii="等线 Light" w:hAnsi="等线 Light"/>
      <w:kern w:val="0"/>
      <w:sz w:val="28"/>
      <w:szCs w:val="28"/>
    </w:rPr>
  </w:style>
  <w:style w:type="paragraph" w:customStyle="1" w:styleId="17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8">
    <w:name w:val="UserStyle_22"/>
    <w:basedOn w:val="1"/>
    <w:next w:val="1"/>
    <w:qFormat/>
    <w:uiPriority w:val="0"/>
    <w:pPr>
      <w:widowControl/>
      <w:spacing w:line="360" w:lineRule="auto"/>
      <w:ind w:left="200" w:leftChars="200"/>
    </w:pPr>
    <w:rPr>
      <w:rFonts w:ascii="Segoe UI Emoji" w:hAnsi="Segoe UI Emoji"/>
      <w:sz w:val="24"/>
      <w:szCs w:val="24"/>
    </w:rPr>
  </w:style>
  <w:style w:type="paragraph" w:customStyle="1" w:styleId="179">
    <w:name w:val="UserStyle_20"/>
    <w:qFormat/>
    <w:uiPriority w:val="0"/>
    <w:pPr>
      <w:jc w:val="both"/>
    </w:pPr>
    <w:rPr>
      <w:rFonts w:ascii="等线 Light" w:hAnsi="等线 Light" w:eastAsia="宋体" w:cs="Times New Roman"/>
      <w:kern w:val="2"/>
      <w:sz w:val="21"/>
      <w:szCs w:val="22"/>
      <w:lang w:val="en-US" w:eastAsia="zh-CN" w:bidi="ar-SA"/>
    </w:rPr>
  </w:style>
  <w:style w:type="paragraph" w:customStyle="1" w:styleId="180">
    <w:name w:val="Normal_5"/>
    <w:qFormat/>
    <w:uiPriority w:val="0"/>
    <w:pPr>
      <w:spacing w:before="120" w:after="240"/>
      <w:jc w:val="both"/>
    </w:pPr>
    <w:rPr>
      <w:rFonts w:ascii="Calibri" w:hAnsi="Calibri" w:eastAsia="宋体" w:cs="Times New Roman"/>
      <w:sz w:val="22"/>
      <w:szCs w:val="22"/>
      <w:lang w:val="en-US" w:eastAsia="en-US" w:bidi="ar-SA"/>
    </w:rPr>
  </w:style>
  <w:style w:type="paragraph" w:customStyle="1" w:styleId="181">
    <w:name w:val="Heading2"/>
    <w:basedOn w:val="1"/>
    <w:next w:val="1"/>
    <w:qFormat/>
    <w:uiPriority w:val="0"/>
    <w:pPr>
      <w:widowControl/>
      <w:spacing w:line="360" w:lineRule="auto"/>
    </w:pPr>
    <w:rPr>
      <w:rFonts w:ascii="Segoe UI Emoji" w:hAnsi="Segoe UI Emoji"/>
      <w:kern w:val="0"/>
      <w:sz w:val="24"/>
      <w:szCs w:val="32"/>
    </w:rPr>
  </w:style>
  <w:style w:type="paragraph" w:customStyle="1" w:styleId="182">
    <w:name w:val="TOC1"/>
    <w:basedOn w:val="1"/>
    <w:next w:val="1"/>
    <w:qFormat/>
    <w:uiPriority w:val="0"/>
    <w:pPr>
      <w:widowControl/>
      <w:spacing w:line="360" w:lineRule="auto"/>
    </w:pPr>
    <w:rPr>
      <w:rFonts w:ascii="等线 Light" w:hAnsi="等线 Light"/>
      <w:sz w:val="24"/>
    </w:rPr>
  </w:style>
  <w:style w:type="paragraph" w:customStyle="1" w:styleId="183">
    <w:name w:val="UserStyle_21"/>
    <w:next w:val="1"/>
    <w:qFormat/>
    <w:uiPriority w:val="0"/>
    <w:pPr>
      <w:ind w:firstLine="5632"/>
      <w:jc w:val="both"/>
    </w:pPr>
    <w:rPr>
      <w:rFonts w:ascii="Calibri" w:hAnsi="Calibri" w:eastAsia="宋体" w:cs="Times New Roman"/>
      <w:lang w:val="en-US" w:eastAsia="zh-CN" w:bidi="ar-SA"/>
    </w:rPr>
  </w:style>
  <w:style w:type="paragraph" w:customStyle="1" w:styleId="184">
    <w:name w:val="TOC7"/>
    <w:basedOn w:val="1"/>
    <w:next w:val="1"/>
    <w:qFormat/>
    <w:uiPriority w:val="0"/>
    <w:pPr>
      <w:widowControl/>
      <w:ind w:left="2520" w:leftChars="1200"/>
    </w:pPr>
    <w:rPr>
      <w:rFonts w:ascii="等线 Light" w:hAnsi="等线 Light"/>
    </w:rPr>
  </w:style>
  <w:style w:type="paragraph" w:customStyle="1" w:styleId="185">
    <w:name w:val="UserStyle_23"/>
    <w:basedOn w:val="173"/>
    <w:next w:val="156"/>
    <w:qFormat/>
    <w:uiPriority w:val="0"/>
    <w:pPr>
      <w:spacing w:before="75" w:line="240" w:lineRule="auto"/>
      <w:ind w:firstLine="22"/>
      <w:jc w:val="left"/>
    </w:pPr>
    <w:rPr>
      <w:kern w:val="0"/>
      <w:sz w:val="20"/>
      <w:szCs w:val="20"/>
    </w:rPr>
  </w:style>
  <w:style w:type="paragraph" w:customStyle="1" w:styleId="186">
    <w:name w:val="TOC5"/>
    <w:basedOn w:val="1"/>
    <w:next w:val="1"/>
    <w:qFormat/>
    <w:uiPriority w:val="0"/>
    <w:pPr>
      <w:widowControl/>
      <w:ind w:left="1680" w:leftChars="800"/>
    </w:pPr>
    <w:rPr>
      <w:rFonts w:ascii="等线 Light" w:hAnsi="等线 Light"/>
    </w:rPr>
  </w:style>
  <w:style w:type="paragraph" w:customStyle="1" w:styleId="187">
    <w:name w:val="UserStyle_19"/>
    <w:basedOn w:val="173"/>
    <w:next w:val="1"/>
    <w:qFormat/>
    <w:uiPriority w:val="0"/>
    <w:pPr>
      <w:spacing w:line="360" w:lineRule="atLeast"/>
      <w:ind w:firstLine="3584"/>
      <w:jc w:val="left"/>
    </w:pPr>
    <w:rPr>
      <w:kern w:val="0"/>
      <w:sz w:val="20"/>
      <w:szCs w:val="20"/>
    </w:rPr>
  </w:style>
  <w:style w:type="paragraph" w:customStyle="1" w:styleId="188">
    <w:name w:val="TOC8"/>
    <w:basedOn w:val="1"/>
    <w:next w:val="1"/>
    <w:qFormat/>
    <w:uiPriority w:val="0"/>
    <w:pPr>
      <w:widowControl/>
      <w:ind w:left="2940" w:leftChars="1400"/>
    </w:pPr>
    <w:rPr>
      <w:rFonts w:ascii="等线 Light" w:hAnsi="等线 Light"/>
    </w:rPr>
  </w:style>
  <w:style w:type="paragraph" w:customStyle="1" w:styleId="189">
    <w:name w:val="TOC6"/>
    <w:basedOn w:val="1"/>
    <w:next w:val="1"/>
    <w:qFormat/>
    <w:uiPriority w:val="0"/>
    <w:pPr>
      <w:widowControl/>
      <w:ind w:left="2100" w:leftChars="1000"/>
    </w:pPr>
    <w:rPr>
      <w:rFonts w:ascii="等线 Light" w:hAnsi="等线 Light"/>
    </w:rPr>
  </w:style>
  <w:style w:type="paragraph" w:customStyle="1" w:styleId="190">
    <w:name w:val="TOC4"/>
    <w:basedOn w:val="1"/>
    <w:next w:val="1"/>
    <w:qFormat/>
    <w:uiPriority w:val="0"/>
    <w:pPr>
      <w:widowControl/>
      <w:ind w:left="1260" w:leftChars="600"/>
    </w:pPr>
    <w:rPr>
      <w:rFonts w:ascii="等线 Light" w:hAnsi="等线 Light"/>
    </w:rPr>
  </w:style>
  <w:style w:type="paragraph" w:customStyle="1" w:styleId="191">
    <w:name w:val="表格文字"/>
    <w:basedOn w:val="1"/>
    <w:qFormat/>
    <w:uiPriority w:val="0"/>
    <w:pPr>
      <w:jc w:val="center"/>
    </w:pPr>
    <w:rPr>
      <w:rFonts w:ascii="Segoe UI Emoji" w:hAnsi="Segoe UI Emoji"/>
      <w:szCs w:val="24"/>
    </w:rPr>
  </w:style>
  <w:style w:type="paragraph" w:customStyle="1" w:styleId="192">
    <w:name w:val="style1"/>
    <w:basedOn w:val="1"/>
    <w:next w:val="1"/>
    <w:qFormat/>
    <w:uiPriority w:val="0"/>
    <w:pPr>
      <w:widowControl/>
      <w:spacing w:before="280" w:after="280"/>
    </w:pPr>
    <w:rPr>
      <w:rFonts w:ascii="宋体" w:hAnsi="宋体" w:cs="宋体"/>
      <w:kern w:val="0"/>
      <w:sz w:val="24"/>
      <w:szCs w:val="20"/>
    </w:rPr>
  </w:style>
  <w:style w:type="paragraph" w:customStyle="1" w:styleId="193">
    <w:name w:val="TOC2"/>
    <w:basedOn w:val="1"/>
    <w:next w:val="1"/>
    <w:qFormat/>
    <w:uiPriority w:val="0"/>
    <w:pPr>
      <w:widowControl/>
      <w:spacing w:line="360" w:lineRule="auto"/>
      <w:ind w:left="200" w:leftChars="200"/>
    </w:pPr>
    <w:rPr>
      <w:rFonts w:ascii="等线 Light" w:hAnsi="等线 Light"/>
      <w:sz w:val="24"/>
    </w:rPr>
  </w:style>
  <w:style w:type="paragraph" w:customStyle="1" w:styleId="194">
    <w:name w:val="TOC9"/>
    <w:basedOn w:val="1"/>
    <w:next w:val="1"/>
    <w:qFormat/>
    <w:uiPriority w:val="0"/>
    <w:pPr>
      <w:widowControl/>
      <w:ind w:left="3360" w:leftChars="1600"/>
    </w:pPr>
    <w:rPr>
      <w:rFonts w:ascii="等线 Light" w:hAnsi="等线 Light"/>
    </w:rPr>
  </w:style>
  <w:style w:type="table" w:customStyle="1" w:styleId="195">
    <w:name w:val="TableGrid"/>
    <w:basedOn w:val="196"/>
    <w:qFormat/>
    <w:uiPriority w:val="0"/>
  </w:style>
  <w:style w:type="table" w:customStyle="1" w:styleId="196">
    <w:name w:val="TableNormal"/>
    <w:qFormat/>
    <w:uiPriority w:val="0"/>
    <w:rPr>
      <w:rFonts w:ascii="Calibri" w:hAnsi="Calibri"/>
    </w:rPr>
    <w:tblPr>
      <w:tblCellMar>
        <w:top w:w="0" w:type="dxa"/>
        <w:left w:w="0" w:type="dxa"/>
        <w:bottom w:w="0" w:type="dxa"/>
        <w:right w:w="0" w:type="dxa"/>
      </w:tblCellMar>
    </w:tblPr>
  </w:style>
  <w:style w:type="character" w:customStyle="1" w:styleId="197">
    <w:name w:val="bigfont"/>
    <w:basedOn w:val="49"/>
    <w:qFormat/>
    <w:uiPriority w:val="0"/>
  </w:style>
  <w:style w:type="character" w:customStyle="1" w:styleId="198">
    <w:name w:val="fontstrikethrough"/>
    <w:qFormat/>
    <w:uiPriority w:val="0"/>
    <w:rPr>
      <w:strike/>
    </w:rPr>
  </w:style>
  <w:style w:type="character" w:customStyle="1" w:styleId="199">
    <w:name w:val="正文文本缩进 3 Char1"/>
    <w:semiHidden/>
    <w:qFormat/>
    <w:uiPriority w:val="99"/>
    <w:rPr>
      <w:rFonts w:ascii="Times New Roman" w:hAnsi="Times New Roman" w:eastAsia="宋体" w:cs="Times New Roman"/>
      <w:sz w:val="16"/>
      <w:szCs w:val="16"/>
    </w:rPr>
  </w:style>
  <w:style w:type="character" w:customStyle="1" w:styleId="200">
    <w:name w:val="日期 Char1"/>
    <w:semiHidden/>
    <w:qFormat/>
    <w:uiPriority w:val="99"/>
    <w:rPr>
      <w:rFonts w:ascii="Times New Roman" w:hAnsi="Times New Roman" w:eastAsia="宋体" w:cs="Times New Roman"/>
      <w:szCs w:val="24"/>
    </w:rPr>
  </w:style>
  <w:style w:type="character" w:customStyle="1" w:styleId="201">
    <w:name w:val="Char Char Char Char Char Char Char Char Char Char Char Char Char Char Char Char"/>
    <w:link w:val="202"/>
    <w:qFormat/>
    <w:uiPriority w:val="0"/>
    <w:rPr>
      <w:rFonts w:ascii="Verdana" w:hAnsi="Verdana"/>
      <w:lang w:eastAsia="en-US"/>
    </w:rPr>
  </w:style>
  <w:style w:type="paragraph" w:customStyle="1" w:styleId="202">
    <w:name w:val="Char Char Char Char Char Char Char Char Char Char Char Char Char Char Char"/>
    <w:basedOn w:val="1"/>
    <w:link w:val="201"/>
    <w:qFormat/>
    <w:uiPriority w:val="0"/>
    <w:pPr>
      <w:widowControl/>
      <w:spacing w:line="400" w:lineRule="exact"/>
      <w:jc w:val="center"/>
    </w:pPr>
    <w:rPr>
      <w:rFonts w:ascii="Verdana" w:hAnsi="Verdana" w:eastAsiaTheme="minorEastAsia" w:cstheme="minorBidi"/>
      <w:lang w:eastAsia="en-US"/>
    </w:rPr>
  </w:style>
  <w:style w:type="character" w:customStyle="1" w:styleId="203">
    <w:name w:val="fontborder"/>
    <w:qFormat/>
    <w:uiPriority w:val="0"/>
    <w:rPr>
      <w:bdr w:val="single" w:color="000000" w:sz="4" w:space="0"/>
    </w:rPr>
  </w:style>
  <w:style w:type="character" w:customStyle="1" w:styleId="204">
    <w:name w:val="正文文本缩进 Char1"/>
    <w:semiHidden/>
    <w:qFormat/>
    <w:uiPriority w:val="99"/>
    <w:rPr>
      <w:rFonts w:ascii="Times New Roman" w:hAnsi="Times New Roman" w:eastAsia="宋体" w:cs="Times New Roman"/>
      <w:szCs w:val="24"/>
    </w:rPr>
  </w:style>
  <w:style w:type="character" w:customStyle="1" w:styleId="205">
    <w:name w:val="Char Char23"/>
    <w:qFormat/>
    <w:uiPriority w:val="0"/>
    <w:rPr>
      <w:rFonts w:ascii="Arial" w:hAnsi="Arial" w:eastAsia="黑体"/>
      <w:b/>
      <w:bCs/>
      <w:kern w:val="2"/>
      <w:sz w:val="32"/>
      <w:szCs w:val="32"/>
      <w:lang w:val="en-US" w:eastAsia="zh-CN" w:bidi="ar-SA"/>
    </w:rPr>
  </w:style>
  <w:style w:type="character" w:customStyle="1" w:styleId="206">
    <w:name w:val="纯文本 Char1"/>
    <w:semiHidden/>
    <w:qFormat/>
    <w:uiPriority w:val="99"/>
    <w:rPr>
      <w:rFonts w:ascii="宋体" w:hAnsi="Courier New" w:eastAsia="宋体" w:cs="Courier New"/>
      <w:szCs w:val="21"/>
    </w:rPr>
  </w:style>
  <w:style w:type="character" w:customStyle="1" w:styleId="207">
    <w:name w:val="样式3 Char Char Char Char"/>
    <w:link w:val="208"/>
    <w:qFormat/>
    <w:uiPriority w:val="0"/>
    <w:rPr>
      <w:rFonts w:eastAsia="黑体"/>
      <w:b/>
      <w:bCs/>
      <w:sz w:val="32"/>
      <w:szCs w:val="32"/>
    </w:rPr>
  </w:style>
  <w:style w:type="paragraph" w:customStyle="1" w:styleId="208">
    <w:name w:val="样式3 Char"/>
    <w:basedOn w:val="4"/>
    <w:next w:val="1"/>
    <w:link w:val="207"/>
    <w:qFormat/>
    <w:uiPriority w:val="0"/>
    <w:pPr>
      <w:spacing w:line="240" w:lineRule="auto"/>
      <w:jc w:val="center"/>
    </w:pPr>
    <w:rPr>
      <w:rFonts w:eastAsia="黑体" w:asciiTheme="minorHAnsi" w:hAnsiTheme="minorHAnsi" w:cstheme="minorBidi"/>
    </w:rPr>
  </w:style>
  <w:style w:type="character" w:customStyle="1" w:styleId="209">
    <w:name w:val="正文文本缩进 2 Char1"/>
    <w:semiHidden/>
    <w:qFormat/>
    <w:uiPriority w:val="99"/>
    <w:rPr>
      <w:rFonts w:ascii="Times New Roman" w:hAnsi="Times New Roman" w:eastAsia="宋体" w:cs="Times New Roman"/>
      <w:szCs w:val="24"/>
    </w:rPr>
  </w:style>
  <w:style w:type="character" w:customStyle="1" w:styleId="210">
    <w:name w:val="页脚 Char1"/>
    <w:semiHidden/>
    <w:qFormat/>
    <w:uiPriority w:val="99"/>
    <w:rPr>
      <w:rFonts w:ascii="Times New Roman" w:hAnsi="Times New Roman" w:eastAsia="宋体" w:cs="Times New Roman"/>
      <w:sz w:val="18"/>
      <w:szCs w:val="18"/>
    </w:rPr>
  </w:style>
  <w:style w:type="character" w:customStyle="1" w:styleId="211">
    <w:name w:val="引用 Char"/>
    <w:qFormat/>
    <w:locked/>
    <w:uiPriority w:val="0"/>
    <w:rPr>
      <w:i/>
      <w:color w:val="000000"/>
      <w:sz w:val="22"/>
    </w:rPr>
  </w:style>
  <w:style w:type="paragraph" w:styleId="212">
    <w:name w:val="Quote"/>
    <w:basedOn w:val="1"/>
    <w:next w:val="1"/>
    <w:link w:val="214"/>
    <w:qFormat/>
    <w:uiPriority w:val="0"/>
    <w:rPr>
      <w:i/>
      <w:color w:val="000000"/>
      <w:kern w:val="0"/>
      <w:sz w:val="22"/>
      <w:szCs w:val="20"/>
    </w:rPr>
  </w:style>
  <w:style w:type="character" w:customStyle="1" w:styleId="213">
    <w:name w:val="引用 Char1"/>
    <w:basedOn w:val="49"/>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214">
    <w:name w:val="引用 字符"/>
    <w:link w:val="212"/>
    <w:qFormat/>
    <w:uiPriority w:val="0"/>
    <w:rPr>
      <w:rFonts w:ascii="Times New Roman" w:hAnsi="Times New Roman" w:eastAsia="宋体" w:cs="Times New Roman"/>
      <w:i/>
      <w:color w:val="000000"/>
      <w:kern w:val="0"/>
      <w:sz w:val="22"/>
      <w:szCs w:val="20"/>
    </w:rPr>
  </w:style>
  <w:style w:type="character" w:customStyle="1" w:styleId="215">
    <w:name w:val="title2"/>
    <w:qFormat/>
    <w:uiPriority w:val="0"/>
    <w:rPr>
      <w:rFonts w:hint="default" w:ascii="Arial" w:hAnsi="Arial"/>
      <w:b/>
      <w:color w:val="111111"/>
      <w:sz w:val="24"/>
      <w:u w:val="none"/>
    </w:rPr>
  </w:style>
  <w:style w:type="character" w:customStyle="1" w:styleId="216">
    <w:name w:val="批注框文本 Char1"/>
    <w:semiHidden/>
    <w:qFormat/>
    <w:uiPriority w:val="99"/>
    <w:rPr>
      <w:rFonts w:ascii="Times New Roman" w:hAnsi="Times New Roman" w:eastAsia="宋体" w:cs="Times New Roman"/>
      <w:sz w:val="18"/>
      <w:szCs w:val="18"/>
    </w:rPr>
  </w:style>
  <w:style w:type="character" w:customStyle="1" w:styleId="217">
    <w:name w:val="newsbg1"/>
    <w:basedOn w:val="49"/>
    <w:qFormat/>
    <w:uiPriority w:val="0"/>
  </w:style>
  <w:style w:type="character" w:customStyle="1" w:styleId="218">
    <w:name w:val="样式 标题 3h3section:3Level 3 HeadH3level_3PIM 33rd level3H... Char Char"/>
    <w:link w:val="219"/>
    <w:qFormat/>
    <w:uiPriority w:val="0"/>
    <w:rPr>
      <w:rFonts w:ascii="Arial" w:hAnsi="Arial"/>
      <w:b/>
      <w:sz w:val="24"/>
      <w:szCs w:val="28"/>
    </w:rPr>
  </w:style>
  <w:style w:type="paragraph" w:customStyle="1" w:styleId="219">
    <w:name w:val="样式 标题 3h3section:3Level 3 HeadH3level_3PIM 33rd level3H..."/>
    <w:basedOn w:val="4"/>
    <w:link w:val="218"/>
    <w:qFormat/>
    <w:uiPriority w:val="0"/>
    <w:pPr>
      <w:tabs>
        <w:tab w:val="left" w:pos="1680"/>
      </w:tabs>
      <w:adjustRightInd w:val="0"/>
      <w:spacing w:line="416" w:lineRule="atLeast"/>
      <w:textAlignment w:val="baseline"/>
    </w:pPr>
    <w:rPr>
      <w:rFonts w:ascii="Arial" w:hAnsi="Arial" w:eastAsiaTheme="minorEastAsia" w:cstheme="minorBidi"/>
      <w:bCs w:val="0"/>
      <w:sz w:val="24"/>
      <w:szCs w:val="28"/>
    </w:rPr>
  </w:style>
  <w:style w:type="character" w:customStyle="1" w:styleId="220">
    <w:name w:val="正文文本 Char2"/>
    <w:semiHidden/>
    <w:qFormat/>
    <w:uiPriority w:val="99"/>
    <w:rPr>
      <w:rFonts w:ascii="Times New Roman" w:hAnsi="Times New Roman" w:eastAsia="宋体" w:cs="Times New Roman"/>
      <w:szCs w:val="24"/>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 Char1"/>
    <w:qFormat/>
    <w:uiPriority w:val="0"/>
    <w:rPr>
      <w:rFonts w:eastAsia="仿宋_GB2312"/>
      <w:sz w:val="23"/>
      <w:szCs w:val="24"/>
    </w:rPr>
  </w:style>
  <w:style w:type="character" w:customStyle="1" w:styleId="223">
    <w:name w:val="Variable"/>
    <w:qFormat/>
    <w:uiPriority w:val="0"/>
    <w:rPr>
      <w:i/>
    </w:rPr>
  </w:style>
  <w:style w:type="character" w:customStyle="1" w:styleId="224">
    <w:name w:val="Hyperlink.0"/>
    <w:qFormat/>
    <w:uiPriority w:val="0"/>
    <w:rPr>
      <w:rFonts w:ascii="宋体" w:hAnsi="宋体" w:eastAsia="宋体" w:cs="宋体"/>
      <w:sz w:val="24"/>
      <w:szCs w:val="24"/>
      <w:lang w:val="zh-TW" w:eastAsia="zh-TW"/>
    </w:rPr>
  </w:style>
  <w:style w:type="character" w:customStyle="1" w:styleId="225">
    <w:name w:val="tt21"/>
    <w:qFormat/>
    <w:uiPriority w:val="0"/>
    <w:rPr>
      <w:rFonts w:ascii="宋体" w:hAnsi="宋体"/>
      <w:b/>
      <w:bCs/>
      <w:sz w:val="32"/>
      <w:szCs w:val="18"/>
    </w:rPr>
  </w:style>
  <w:style w:type="character" w:customStyle="1" w:styleId="226">
    <w:name w:val="font01"/>
    <w:qFormat/>
    <w:uiPriority w:val="0"/>
    <w:rPr>
      <w:rFonts w:hint="eastAsia" w:ascii="宋体" w:hAnsi="宋体" w:eastAsia="宋体"/>
      <w:color w:val="000000"/>
      <w:sz w:val="24"/>
      <w:szCs w:val="24"/>
      <w:u w:val="none"/>
    </w:rPr>
  </w:style>
  <w:style w:type="character" w:customStyle="1" w:styleId="227">
    <w:name w:val="明显引用 Char"/>
    <w:qFormat/>
    <w:locked/>
    <w:uiPriority w:val="0"/>
    <w:rPr>
      <w:b/>
      <w:i/>
      <w:color w:val="4F81BD"/>
      <w:sz w:val="22"/>
    </w:rPr>
  </w:style>
  <w:style w:type="paragraph" w:styleId="228">
    <w:name w:val="Intense Quote"/>
    <w:basedOn w:val="1"/>
    <w:next w:val="1"/>
    <w:link w:val="230"/>
    <w:qFormat/>
    <w:uiPriority w:val="0"/>
    <w:pPr>
      <w:pBdr>
        <w:bottom w:val="single" w:color="4F81BD" w:sz="4" w:space="4"/>
      </w:pBdr>
      <w:spacing w:before="200" w:after="280"/>
      <w:ind w:left="936" w:right="936"/>
    </w:pPr>
    <w:rPr>
      <w:b/>
      <w:i/>
      <w:color w:val="4F81BD"/>
      <w:kern w:val="0"/>
      <w:sz w:val="22"/>
      <w:szCs w:val="20"/>
    </w:rPr>
  </w:style>
  <w:style w:type="character" w:customStyle="1" w:styleId="229">
    <w:name w:val="明显引用 Char1"/>
    <w:basedOn w:val="49"/>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230">
    <w:name w:val="明显引用 字符"/>
    <w:link w:val="228"/>
    <w:qFormat/>
    <w:uiPriority w:val="0"/>
    <w:rPr>
      <w:rFonts w:ascii="Times New Roman" w:hAnsi="Times New Roman" w:eastAsia="宋体" w:cs="Times New Roman"/>
      <w:b/>
      <w:i/>
      <w:color w:val="4F81BD"/>
      <w:kern w:val="0"/>
      <w:sz w:val="22"/>
      <w:szCs w:val="20"/>
    </w:rPr>
  </w:style>
  <w:style w:type="character" w:customStyle="1" w:styleId="231">
    <w:name w:val="称呼 Char1"/>
    <w:semiHidden/>
    <w:qFormat/>
    <w:uiPriority w:val="99"/>
    <w:rPr>
      <w:rFonts w:ascii="Times New Roman" w:hAnsi="Times New Roman" w:eastAsia="宋体" w:cs="Times New Roman"/>
      <w:szCs w:val="24"/>
    </w:rPr>
  </w:style>
  <w:style w:type="character" w:customStyle="1" w:styleId="232">
    <w:name w:val="标题5 Char Char"/>
    <w:link w:val="233"/>
    <w:qFormat/>
    <w:locked/>
    <w:uiPriority w:val="0"/>
    <w:rPr>
      <w:rFonts w:ascii="Arial" w:hAnsi="Arial"/>
      <w:b/>
      <w:sz w:val="32"/>
    </w:rPr>
  </w:style>
  <w:style w:type="paragraph" w:customStyle="1" w:styleId="233">
    <w:name w:val="标题5"/>
    <w:basedOn w:val="4"/>
    <w:link w:val="232"/>
    <w:qFormat/>
    <w:uiPriority w:val="0"/>
    <w:pPr>
      <w:spacing w:line="413" w:lineRule="auto"/>
    </w:pPr>
    <w:rPr>
      <w:rFonts w:ascii="Arial" w:hAnsi="Arial" w:eastAsiaTheme="minorEastAsia" w:cstheme="minorBidi"/>
      <w:bCs w:val="0"/>
      <w:szCs w:val="22"/>
    </w:rPr>
  </w:style>
  <w:style w:type="character" w:customStyle="1" w:styleId="234">
    <w:name w:val="Char Char11"/>
    <w:qFormat/>
    <w:uiPriority w:val="0"/>
    <w:rPr>
      <w:rFonts w:eastAsia="宋体"/>
      <w:sz w:val="24"/>
      <w:szCs w:val="24"/>
      <w:lang w:val="en-US" w:eastAsia="zh-CN" w:bidi="ar-SA"/>
    </w:rPr>
  </w:style>
  <w:style w:type="character" w:customStyle="1" w:styleId="235">
    <w:name w:val="标题 Char1"/>
    <w:qFormat/>
    <w:uiPriority w:val="10"/>
    <w:rPr>
      <w:rFonts w:ascii="Cambria" w:hAnsi="Cambria" w:eastAsia="宋体" w:cs="Times New Roman"/>
      <w:b/>
      <w:bCs/>
      <w:sz w:val="32"/>
      <w:szCs w:val="32"/>
    </w:rPr>
  </w:style>
  <w:style w:type="character" w:customStyle="1" w:styleId="236">
    <w:name w:val="批注主题 Char1"/>
    <w:semiHidden/>
    <w:qFormat/>
    <w:uiPriority w:val="99"/>
    <w:rPr>
      <w:rFonts w:ascii="Times New Roman" w:hAnsi="Times New Roman" w:eastAsia="宋体" w:cs="Times New Roman"/>
      <w:b/>
      <w:bCs/>
      <w:szCs w:val="24"/>
    </w:rPr>
  </w:style>
  <w:style w:type="character" w:customStyle="1" w:styleId="237">
    <w:name w:val="页眉 Char1"/>
    <w:semiHidden/>
    <w:qFormat/>
    <w:uiPriority w:val="99"/>
    <w:rPr>
      <w:rFonts w:ascii="Times New Roman" w:hAnsi="Times New Roman" w:eastAsia="宋体" w:cs="Times New Roman"/>
      <w:sz w:val="18"/>
      <w:szCs w:val="18"/>
    </w:rPr>
  </w:style>
  <w:style w:type="character" w:customStyle="1" w:styleId="238">
    <w:name w:val="textcontents"/>
    <w:basedOn w:val="49"/>
    <w:qFormat/>
    <w:uiPriority w:val="0"/>
  </w:style>
  <w:style w:type="character" w:customStyle="1" w:styleId="239">
    <w:name w:val="副标题 Char1"/>
    <w:qFormat/>
    <w:uiPriority w:val="0"/>
    <w:rPr>
      <w:rFonts w:ascii="Cambria" w:hAnsi="Cambria"/>
      <w:b/>
      <w:kern w:val="28"/>
      <w:sz w:val="32"/>
    </w:rPr>
  </w:style>
  <w:style w:type="character" w:customStyle="1" w:styleId="240">
    <w:name w:val="正文文本 Char3"/>
    <w:semiHidden/>
    <w:qFormat/>
    <w:uiPriority w:val="99"/>
    <w:rPr>
      <w:rFonts w:ascii="等线 Light" w:hAnsi="等线 Light"/>
      <w:kern w:val="2"/>
      <w:sz w:val="21"/>
      <w:szCs w:val="22"/>
    </w:rPr>
  </w:style>
  <w:style w:type="character" w:customStyle="1" w:styleId="241">
    <w:name w:val="正文文本 2 Char1"/>
    <w:semiHidden/>
    <w:qFormat/>
    <w:uiPriority w:val="99"/>
    <w:rPr>
      <w:rFonts w:ascii="等线 Light" w:hAnsi="等线 Light"/>
      <w:kern w:val="2"/>
      <w:sz w:val="21"/>
      <w:szCs w:val="22"/>
    </w:rPr>
  </w:style>
  <w:style w:type="paragraph" w:customStyle="1" w:styleId="242">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243">
    <w:name w:val="Table Paragraph"/>
    <w:basedOn w:val="1"/>
    <w:qFormat/>
    <w:uiPriority w:val="0"/>
    <w:pPr>
      <w:jc w:val="left"/>
    </w:pPr>
    <w:rPr>
      <w:rFonts w:ascii="Calibri" w:hAnsi="Calibri" w:cs="Calibri"/>
      <w:kern w:val="0"/>
      <w:sz w:val="22"/>
      <w:lang w:eastAsia="en-US"/>
    </w:rPr>
  </w:style>
  <w:style w:type="paragraph" w:customStyle="1" w:styleId="244">
    <w:name w:val="样式 (中文) 黑体 小二 加粗 居中 行距: 1.5 倍行距"/>
    <w:basedOn w:val="2"/>
    <w:qFormat/>
    <w:uiPriority w:val="0"/>
    <w:pPr>
      <w:keepNext/>
      <w:keepLines/>
      <w:spacing w:before="340" w:after="330" w:line="240" w:lineRule="auto"/>
    </w:pPr>
    <w:rPr>
      <w:rFonts w:eastAsia="黑体" w:cs="宋体"/>
      <w:b w:val="0"/>
      <w:spacing w:val="60"/>
      <w:sz w:val="36"/>
    </w:rPr>
  </w:style>
  <w:style w:type="paragraph" w:customStyle="1" w:styleId="245">
    <w:name w:val="_Style 7"/>
    <w:basedOn w:val="1"/>
    <w:next w:val="1"/>
    <w:qFormat/>
    <w:uiPriority w:val="0"/>
    <w:pPr>
      <w:widowControl/>
      <w:spacing w:after="160" w:line="240" w:lineRule="exact"/>
      <w:jc w:val="left"/>
    </w:pPr>
    <w:rPr>
      <w:szCs w:val="24"/>
    </w:rPr>
  </w:style>
  <w:style w:type="paragraph" w:customStyle="1" w:styleId="246">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247">
    <w:name w:val="Char"/>
    <w:basedOn w:val="1"/>
    <w:qFormat/>
    <w:uiPriority w:val="0"/>
    <w:rPr>
      <w:rFonts w:ascii="Tahoma" w:hAnsi="Tahoma"/>
      <w:sz w:val="24"/>
      <w:szCs w:val="20"/>
    </w:rPr>
  </w:style>
  <w:style w:type="paragraph" w:customStyle="1" w:styleId="248">
    <w:name w:val="_Style 10"/>
    <w:basedOn w:val="1"/>
    <w:qFormat/>
    <w:uiPriority w:val="0"/>
    <w:pPr>
      <w:widowControl/>
      <w:spacing w:line="400" w:lineRule="exact"/>
      <w:jc w:val="center"/>
    </w:pPr>
    <w:rPr>
      <w:szCs w:val="24"/>
    </w:rPr>
  </w:style>
  <w:style w:type="paragraph" w:customStyle="1" w:styleId="249">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character" w:customStyle="1" w:styleId="250">
    <w:name w:val="正文文本缩进 Char2"/>
    <w:semiHidden/>
    <w:qFormat/>
    <w:uiPriority w:val="99"/>
    <w:rPr>
      <w:rFonts w:ascii="等线 Light" w:hAnsi="等线 Light"/>
      <w:kern w:val="2"/>
      <w:sz w:val="21"/>
      <w:szCs w:val="22"/>
    </w:rPr>
  </w:style>
  <w:style w:type="paragraph" w:customStyle="1" w:styleId="251">
    <w:name w:val="Char Char1 Char Char Char"/>
    <w:basedOn w:val="14"/>
    <w:qFormat/>
    <w:uiPriority w:val="0"/>
    <w:pPr>
      <w:widowControl/>
    </w:pPr>
    <w:rPr>
      <w:rFonts w:ascii="MS Mincho" w:hAnsi="等线 Light"/>
      <w:kern w:val="2"/>
    </w:rPr>
  </w:style>
  <w:style w:type="paragraph" w:customStyle="1" w:styleId="252">
    <w:name w:val="默认段落字体 Para Char Char Char Char"/>
    <w:basedOn w:val="1"/>
    <w:qFormat/>
    <w:uiPriority w:val="0"/>
    <w:rPr>
      <w:szCs w:val="24"/>
    </w:rPr>
  </w:style>
  <w:style w:type="paragraph" w:customStyle="1" w:styleId="25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4">
    <w:name w:val="样式4"/>
    <w:basedOn w:val="1"/>
    <w:next w:val="33"/>
    <w:qFormat/>
    <w:uiPriority w:val="0"/>
    <w:pPr>
      <w:tabs>
        <w:tab w:val="left" w:pos="8300"/>
      </w:tabs>
      <w:ind w:right="13"/>
      <w:jc w:val="right"/>
    </w:pPr>
    <w:rPr>
      <w:rFonts w:eastAsia="仿宋_GB2312"/>
      <w:sz w:val="28"/>
      <w:szCs w:val="24"/>
    </w:rPr>
  </w:style>
  <w:style w:type="paragraph" w:customStyle="1" w:styleId="255">
    <w:name w:val="Char Char"/>
    <w:basedOn w:val="1"/>
    <w:next w:val="1"/>
    <w:qFormat/>
    <w:uiPriority w:val="0"/>
    <w:pPr>
      <w:widowControl/>
      <w:spacing w:after="160" w:line="240" w:lineRule="exact"/>
      <w:jc w:val="left"/>
    </w:pPr>
    <w:rPr>
      <w:szCs w:val="20"/>
    </w:rPr>
  </w:style>
  <w:style w:type="paragraph" w:customStyle="1" w:styleId="256">
    <w:name w:val="Char Char Char1 Char Char Char Char Char Char Char"/>
    <w:basedOn w:val="1"/>
    <w:qFormat/>
    <w:uiPriority w:val="0"/>
    <w:rPr>
      <w:rFonts w:ascii="Tahoma" w:hAnsi="Tahoma"/>
      <w:sz w:val="24"/>
      <w:szCs w:val="20"/>
    </w:rPr>
  </w:style>
  <w:style w:type="paragraph" w:customStyle="1" w:styleId="25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8">
    <w:name w:val="默认段落字体 Para Char"/>
    <w:basedOn w:val="1"/>
    <w:qFormat/>
    <w:uiPriority w:val="0"/>
    <w:rPr>
      <w:szCs w:val="24"/>
    </w:rPr>
  </w:style>
  <w:style w:type="paragraph" w:customStyle="1" w:styleId="259">
    <w:name w:val="p17"/>
    <w:basedOn w:val="1"/>
    <w:qFormat/>
    <w:uiPriority w:val="0"/>
    <w:pPr>
      <w:widowControl/>
    </w:pPr>
    <w:rPr>
      <w:rFonts w:ascii="Calibri" w:hAnsi="Calibri" w:cs="宋体"/>
      <w:kern w:val="0"/>
      <w:szCs w:val="21"/>
    </w:rPr>
  </w:style>
  <w:style w:type="paragraph" w:customStyle="1" w:styleId="260">
    <w:name w:val="样式5"/>
    <w:basedOn w:val="261"/>
    <w:qFormat/>
    <w:uiPriority w:val="0"/>
    <w:pPr>
      <w:spacing w:line="360" w:lineRule="auto"/>
    </w:pPr>
  </w:style>
  <w:style w:type="paragraph" w:customStyle="1" w:styleId="261">
    <w:name w:val="样式1"/>
    <w:basedOn w:val="2"/>
    <w:next w:val="1"/>
    <w:qFormat/>
    <w:uiPriority w:val="0"/>
    <w:pPr>
      <w:keepNext/>
      <w:keepLines/>
      <w:spacing w:before="340" w:after="330" w:line="240" w:lineRule="auto"/>
    </w:pPr>
    <w:rPr>
      <w:rFonts w:eastAsia="黑体"/>
      <w:bCs/>
      <w:sz w:val="36"/>
      <w:szCs w:val="44"/>
    </w:rPr>
  </w:style>
  <w:style w:type="paragraph" w:customStyle="1" w:styleId="262">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63">
    <w:name w:val="p0"/>
    <w:basedOn w:val="1"/>
    <w:qFormat/>
    <w:uiPriority w:val="0"/>
    <w:pPr>
      <w:widowControl/>
    </w:pPr>
    <w:rPr>
      <w:kern w:val="0"/>
      <w:szCs w:val="21"/>
    </w:rPr>
  </w:style>
  <w:style w:type="paragraph" w:customStyle="1" w:styleId="264">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265">
    <w:name w:val="xl133"/>
    <w:basedOn w:val="1"/>
    <w:qFormat/>
    <w:uiPriority w:val="0"/>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266">
    <w:name w:val="五号正文（标准）"/>
    <w:basedOn w:val="1"/>
    <w:qFormat/>
    <w:uiPriority w:val="0"/>
    <w:pPr>
      <w:spacing w:line="360" w:lineRule="auto"/>
      <w:ind w:firstLine="600" w:firstLineChars="200"/>
    </w:pPr>
    <w:rPr>
      <w:rFonts w:ascii="仿宋_GB2312" w:hAnsi="宋体" w:eastAsia="仿宋_GB2312"/>
      <w:b/>
      <w:sz w:val="30"/>
      <w:szCs w:val="20"/>
    </w:rPr>
  </w:style>
  <w:style w:type="paragraph" w:customStyle="1" w:styleId="267">
    <w:name w:val="_Style 17"/>
    <w:basedOn w:val="1"/>
    <w:qFormat/>
    <w:uiPriority w:val="0"/>
    <w:pPr>
      <w:widowControl/>
      <w:spacing w:line="400" w:lineRule="exact"/>
      <w:jc w:val="center"/>
    </w:pPr>
    <w:rPr>
      <w:szCs w:val="24"/>
    </w:rPr>
  </w:style>
  <w:style w:type="paragraph" w:customStyle="1" w:styleId="26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9">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70">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kern w:val="0"/>
      <w:sz w:val="24"/>
      <w:szCs w:val="20"/>
      <w:vertAlign w:val="subscript"/>
    </w:rPr>
  </w:style>
  <w:style w:type="paragraph" w:customStyle="1" w:styleId="27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272">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27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kern w:val="0"/>
      <w:sz w:val="20"/>
      <w:szCs w:val="20"/>
    </w:rPr>
  </w:style>
  <w:style w:type="paragraph" w:customStyle="1" w:styleId="27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Char Char1 Char Char Char Char Char Char Char Char Char Char Char Char Char Char"/>
    <w:basedOn w:val="1"/>
    <w:qFormat/>
    <w:uiPriority w:val="0"/>
    <w:pPr>
      <w:spacing w:after="160" w:line="240" w:lineRule="exact"/>
      <w:jc w:val="left"/>
    </w:pPr>
    <w:rPr>
      <w:szCs w:val="24"/>
    </w:rPr>
  </w:style>
  <w:style w:type="paragraph" w:customStyle="1" w:styleId="276">
    <w:name w:val="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7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4"/>
      <w:szCs w:val="24"/>
    </w:rPr>
  </w:style>
  <w:style w:type="paragraph" w:customStyle="1" w:styleId="278">
    <w:name w:val="xl165"/>
    <w:basedOn w:val="1"/>
    <w:qFormat/>
    <w:uiPriority w:val="0"/>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279">
    <w:name w:val="文档正文"/>
    <w:basedOn w:val="1"/>
    <w:qFormat/>
    <w:uiPriority w:val="0"/>
    <w:pPr>
      <w:adjustRightInd w:val="0"/>
      <w:spacing w:line="480" w:lineRule="atLeast"/>
      <w:ind w:firstLine="567"/>
    </w:pPr>
    <w:rPr>
      <w:rFonts w:ascii="长城仿宋"/>
      <w:kern w:val="0"/>
      <w:sz w:val="24"/>
      <w:szCs w:val="20"/>
    </w:rPr>
  </w:style>
  <w:style w:type="paragraph" w:customStyle="1" w:styleId="280">
    <w:name w:val="Paragraph P1&amp;2"/>
    <w:basedOn w:val="1"/>
    <w:qFormat/>
    <w:uiPriority w:val="0"/>
    <w:pPr>
      <w:widowControl/>
      <w:tabs>
        <w:tab w:val="left" w:pos="420"/>
      </w:tabs>
      <w:spacing w:before="40" w:after="60" w:line="360" w:lineRule="auto"/>
      <w:ind w:left="1125" w:hanging="1125"/>
      <w:jc w:val="left"/>
    </w:pPr>
    <w:rPr>
      <w:rFonts w:ascii="宋体" w:hAnsi="宋体"/>
      <w:color w:val="FF0000"/>
      <w:sz w:val="24"/>
      <w:szCs w:val="24"/>
    </w:rPr>
  </w:style>
  <w:style w:type="paragraph" w:customStyle="1" w:styleId="2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82">
    <w:name w:val="列表1）"/>
    <w:basedOn w:val="12"/>
    <w:qFormat/>
    <w:uiPriority w:val="0"/>
    <w:pPr>
      <w:adjustRightInd/>
      <w:spacing w:before="10"/>
      <w:ind w:firstLine="0"/>
      <w:jc w:val="both"/>
      <w:textAlignment w:val="auto"/>
    </w:pPr>
    <w:rPr>
      <w:rFonts w:ascii="Verdana" w:hAnsi="Verdana" w:eastAsia="宋体"/>
      <w:kern w:val="2"/>
      <w:sz w:val="21"/>
      <w:szCs w:val="21"/>
    </w:rPr>
  </w:style>
  <w:style w:type="paragraph" w:customStyle="1" w:styleId="283">
    <w:name w:val="重点说明"/>
    <w:basedOn w:val="1"/>
    <w:qFormat/>
    <w:uiPriority w:val="0"/>
    <w:pPr>
      <w:widowControl/>
      <w:spacing w:before="40" w:after="40" w:line="400" w:lineRule="exact"/>
      <w:ind w:left="360" w:hanging="360"/>
    </w:pPr>
    <w:rPr>
      <w:rFonts w:ascii="宋体"/>
      <w:b/>
      <w:spacing w:val="6"/>
      <w:sz w:val="28"/>
      <w:szCs w:val="20"/>
    </w:rPr>
  </w:style>
  <w:style w:type="paragraph" w:customStyle="1" w:styleId="284">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5">
    <w:name w:val="xl146"/>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286">
    <w:name w:val="样式 首行缩进:  2 字符"/>
    <w:basedOn w:val="1"/>
    <w:qFormat/>
    <w:uiPriority w:val="0"/>
    <w:pPr>
      <w:spacing w:line="360" w:lineRule="auto"/>
      <w:ind w:firstLine="480" w:firstLineChars="200"/>
    </w:pPr>
    <w:rPr>
      <w:rFonts w:ascii="Arial" w:hAnsi="Arial"/>
      <w:sz w:val="24"/>
      <w:szCs w:val="20"/>
    </w:rPr>
  </w:style>
  <w:style w:type="paragraph" w:customStyle="1" w:styleId="287">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8">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8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1">
    <w:name w:val="Heading 41"/>
    <w:basedOn w:val="1"/>
    <w:qFormat/>
    <w:uiPriority w:val="0"/>
    <w:pPr>
      <w:jc w:val="left"/>
      <w:outlineLvl w:val="4"/>
    </w:pPr>
    <w:rPr>
      <w:rFonts w:ascii="宋体" w:hAnsi="宋体" w:cs="宋体"/>
      <w:kern w:val="0"/>
      <w:sz w:val="32"/>
      <w:szCs w:val="32"/>
      <w:lang w:eastAsia="en-US"/>
    </w:rPr>
  </w:style>
  <w:style w:type="paragraph" w:customStyle="1" w:styleId="292">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3">
    <w:name w:val="样式 (中文) 黑体 四号 居中 行距: 1.5 倍行距"/>
    <w:basedOn w:val="4"/>
    <w:qFormat/>
    <w:uiPriority w:val="0"/>
    <w:pPr>
      <w:spacing w:line="240" w:lineRule="auto"/>
      <w:jc w:val="center"/>
    </w:pPr>
    <w:rPr>
      <w:rFonts w:eastAsia="黑体" w:cs="宋体"/>
      <w:kern w:val="0"/>
      <w:sz w:val="28"/>
      <w:szCs w:val="20"/>
    </w:rPr>
  </w:style>
  <w:style w:type="paragraph" w:customStyle="1" w:styleId="294">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0"/>
      <w:szCs w:val="20"/>
    </w:rPr>
  </w:style>
  <w:style w:type="paragraph" w:customStyle="1" w:styleId="295">
    <w:name w:val="Char Char Char Char"/>
    <w:basedOn w:val="1"/>
    <w:next w:val="1"/>
    <w:qFormat/>
    <w:uiPriority w:val="0"/>
    <w:pPr>
      <w:widowControl/>
      <w:spacing w:after="160" w:line="240" w:lineRule="exact"/>
      <w:jc w:val="left"/>
    </w:pPr>
    <w:rPr>
      <w:szCs w:val="24"/>
    </w:rPr>
  </w:style>
  <w:style w:type="paragraph" w:customStyle="1" w:styleId="296">
    <w:name w:val="xl13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99">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0">
    <w:name w:val="样式2"/>
    <w:basedOn w:val="3"/>
    <w:next w:val="1"/>
    <w:qFormat/>
    <w:uiPriority w:val="0"/>
    <w:pPr>
      <w:spacing w:before="260" w:after="260" w:line="240" w:lineRule="auto"/>
      <w:jc w:val="center"/>
    </w:pPr>
    <w:rPr>
      <w:rFonts w:ascii="Arial" w:hAnsi="Arial" w:eastAsia="黑体"/>
      <w:sz w:val="36"/>
    </w:rPr>
  </w:style>
  <w:style w:type="paragraph" w:customStyle="1" w:styleId="301">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30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3">
    <w:name w:val="样式 (中文) 黑体 小三 加粗 居中 行距: 1.5 倍行距"/>
    <w:basedOn w:val="1"/>
    <w:next w:val="1"/>
    <w:qFormat/>
    <w:uiPriority w:val="0"/>
    <w:pPr>
      <w:spacing w:line="360" w:lineRule="auto"/>
      <w:jc w:val="center"/>
    </w:pPr>
    <w:rPr>
      <w:rFonts w:eastAsia="黑体" w:cs="宋体"/>
      <w:b/>
      <w:bCs/>
      <w:sz w:val="30"/>
      <w:szCs w:val="20"/>
    </w:rPr>
  </w:style>
  <w:style w:type="paragraph" w:customStyle="1" w:styleId="304">
    <w:name w:val="prodsubtitle"/>
    <w:basedOn w:val="1"/>
    <w:qFormat/>
    <w:uiPriority w:val="0"/>
    <w:pPr>
      <w:widowControl/>
      <w:jc w:val="left"/>
    </w:pPr>
    <w:rPr>
      <w:rFonts w:ascii="宋体" w:hAnsi="宋体" w:cs="宋体"/>
      <w:kern w:val="0"/>
      <w:sz w:val="24"/>
      <w:szCs w:val="24"/>
    </w:rPr>
  </w:style>
  <w:style w:type="paragraph" w:customStyle="1" w:styleId="305">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06">
    <w:name w:val="样式 (中文) 黑体 小二 行距: 1.5 倍行距"/>
    <w:basedOn w:val="1"/>
    <w:qFormat/>
    <w:uiPriority w:val="0"/>
    <w:pPr>
      <w:spacing w:line="360" w:lineRule="auto"/>
    </w:pPr>
    <w:rPr>
      <w:rFonts w:eastAsia="黑体" w:cs="宋体"/>
      <w:sz w:val="36"/>
      <w:szCs w:val="20"/>
    </w:rPr>
  </w:style>
  <w:style w:type="paragraph" w:customStyle="1" w:styleId="30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8">
    <w:name w:val="Address"/>
    <w:basedOn w:val="1"/>
    <w:next w:val="1"/>
    <w:qFormat/>
    <w:uiPriority w:val="0"/>
    <w:pPr>
      <w:autoSpaceDE w:val="0"/>
      <w:autoSpaceDN w:val="0"/>
      <w:adjustRightInd w:val="0"/>
      <w:jc w:val="left"/>
    </w:pPr>
    <w:rPr>
      <w:i/>
      <w:kern w:val="0"/>
      <w:sz w:val="24"/>
      <w:szCs w:val="20"/>
    </w:rPr>
  </w:style>
  <w:style w:type="paragraph" w:customStyle="1" w:styleId="309">
    <w:name w:val="Char Char Char Char Char Char Char Char Char Char Char Char Char"/>
    <w:basedOn w:val="1"/>
    <w:qFormat/>
    <w:uiPriority w:val="0"/>
    <w:pPr>
      <w:tabs>
        <w:tab w:val="left" w:pos="420"/>
      </w:tabs>
      <w:ind w:left="420" w:hanging="420"/>
    </w:pPr>
    <w:rPr>
      <w:rFonts w:ascii="Tahoma" w:hAnsi="Tahoma"/>
      <w:sz w:val="24"/>
      <w:szCs w:val="20"/>
    </w:rPr>
  </w:style>
  <w:style w:type="paragraph" w:customStyle="1" w:styleId="31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样式3"/>
    <w:basedOn w:val="4"/>
    <w:next w:val="1"/>
    <w:qFormat/>
    <w:uiPriority w:val="0"/>
    <w:pPr>
      <w:spacing w:line="240" w:lineRule="auto"/>
      <w:jc w:val="center"/>
    </w:pPr>
    <w:rPr>
      <w:rFonts w:eastAsia="黑体"/>
      <w:kern w:val="0"/>
    </w:rPr>
  </w:style>
  <w:style w:type="paragraph" w:customStyle="1" w:styleId="312">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13">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szCs w:val="20"/>
    </w:rPr>
  </w:style>
  <w:style w:type="paragraph" w:customStyle="1" w:styleId="314">
    <w:name w:val="Heading 71"/>
    <w:basedOn w:val="1"/>
    <w:qFormat/>
    <w:uiPriority w:val="0"/>
    <w:pPr>
      <w:jc w:val="left"/>
      <w:outlineLvl w:val="7"/>
    </w:pPr>
    <w:rPr>
      <w:rFonts w:ascii="宋体" w:hAnsi="宋体" w:cs="宋体"/>
      <w:kern w:val="0"/>
      <w:sz w:val="28"/>
      <w:szCs w:val="28"/>
      <w:lang w:eastAsia="en-US"/>
    </w:rPr>
  </w:style>
  <w:style w:type="paragraph" w:customStyle="1" w:styleId="315">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16">
    <w:name w:val="样式8"/>
    <w:basedOn w:val="300"/>
    <w:qFormat/>
    <w:uiPriority w:val="0"/>
    <w:rPr>
      <w:sz w:val="72"/>
    </w:rPr>
  </w:style>
  <w:style w:type="paragraph" w:customStyle="1" w:styleId="317">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8">
    <w:name w:val="样式 标题 1 + 居中"/>
    <w:basedOn w:val="2"/>
    <w:qFormat/>
    <w:uiPriority w:val="0"/>
    <w:pPr>
      <w:keepNext/>
      <w:keepLines/>
      <w:spacing w:before="340" w:after="330" w:line="576" w:lineRule="auto"/>
    </w:pPr>
  </w:style>
  <w:style w:type="paragraph" w:customStyle="1" w:styleId="319">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20">
    <w:name w:val="_Style 19"/>
    <w:basedOn w:val="1"/>
    <w:next w:val="25"/>
    <w:qFormat/>
    <w:uiPriority w:val="0"/>
    <w:rPr>
      <w:rFonts w:ascii="宋体" w:hAnsi="Courier New" w:cs="Courier New"/>
      <w:szCs w:val="21"/>
    </w:rPr>
  </w:style>
  <w:style w:type="paragraph" w:customStyle="1" w:styleId="321">
    <w:name w:val="font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322">
    <w:name w:val="flType"/>
    <w:basedOn w:val="1"/>
    <w:qFormat/>
    <w:uiPriority w:val="0"/>
    <w:pPr>
      <w:adjustRightInd w:val="0"/>
      <w:spacing w:after="284" w:line="113" w:lineRule="atLeast"/>
      <w:jc w:val="center"/>
    </w:pPr>
    <w:rPr>
      <w:kern w:val="0"/>
      <w:sz w:val="24"/>
      <w:szCs w:val="20"/>
    </w:rPr>
  </w:style>
  <w:style w:type="paragraph" w:customStyle="1" w:styleId="323">
    <w:name w:val="百姓X"/>
    <w:basedOn w:val="1"/>
    <w:qFormat/>
    <w:uiPriority w:val="0"/>
    <w:pPr>
      <w:spacing w:before="120" w:after="120" w:line="360" w:lineRule="auto"/>
      <w:ind w:firstLine="540"/>
    </w:pPr>
    <w:rPr>
      <w:rFonts w:ascii="Arial Narrow" w:hAnsi="Arial Narrow"/>
      <w:sz w:val="24"/>
      <w:szCs w:val="24"/>
    </w:rPr>
  </w:style>
  <w:style w:type="paragraph" w:customStyle="1" w:styleId="324">
    <w:name w:val="List Paragraph1"/>
    <w:basedOn w:val="1"/>
    <w:qFormat/>
    <w:uiPriority w:val="0"/>
    <w:pPr>
      <w:ind w:firstLine="420" w:firstLineChars="200"/>
    </w:pPr>
    <w:rPr>
      <w:rFonts w:ascii="Calibri" w:hAnsi="Calibri"/>
    </w:rPr>
  </w:style>
  <w:style w:type="paragraph" w:customStyle="1" w:styleId="325">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6">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27">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8">
    <w:name w:val="列出段落11"/>
    <w:basedOn w:val="1"/>
    <w:qFormat/>
    <w:uiPriority w:val="0"/>
    <w:pPr>
      <w:ind w:firstLine="420" w:firstLineChars="200"/>
    </w:pPr>
    <w:rPr>
      <w:rFonts w:ascii="Calibri" w:hAnsi="Calibri"/>
      <w:szCs w:val="20"/>
    </w:rPr>
  </w:style>
  <w:style w:type="paragraph" w:customStyle="1" w:styleId="329">
    <w:name w:val="默认段落字体 Para Char Char Char Char Char Char Char Char Char Char"/>
    <w:basedOn w:val="1"/>
    <w:qFormat/>
    <w:uiPriority w:val="0"/>
    <w:rPr>
      <w:rFonts w:hint="eastAsia" w:ascii="Tahoma" w:hAnsi="Tahoma"/>
      <w:sz w:val="24"/>
      <w:szCs w:val="20"/>
    </w:rPr>
  </w:style>
  <w:style w:type="paragraph" w:customStyle="1" w:styleId="330">
    <w:name w:val="WPSOffice手动目录 1"/>
    <w:qFormat/>
    <w:uiPriority w:val="0"/>
    <w:rPr>
      <w:rFonts w:ascii="Times New Roman" w:hAnsi="Times New Roman" w:eastAsia="宋体" w:cs="Times New Roman"/>
      <w:lang w:val="en-US" w:eastAsia="zh-CN" w:bidi="ar-SA"/>
    </w:rPr>
  </w:style>
  <w:style w:type="paragraph" w:customStyle="1" w:styleId="331">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32">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33">
    <w:name w:val="正文段"/>
    <w:basedOn w:val="1"/>
    <w:qFormat/>
    <w:uiPriority w:val="0"/>
    <w:pPr>
      <w:adjustRightInd w:val="0"/>
      <w:spacing w:after="240" w:line="312" w:lineRule="atLeast"/>
      <w:ind w:firstLine="425"/>
      <w:textAlignment w:val="baseline"/>
    </w:pPr>
    <w:rPr>
      <w:sz w:val="24"/>
      <w:szCs w:val="24"/>
    </w:rPr>
  </w:style>
  <w:style w:type="paragraph" w:customStyle="1" w:styleId="334">
    <w:name w:val="华文细黑1"/>
    <w:basedOn w:val="1"/>
    <w:qFormat/>
    <w:uiPriority w:val="0"/>
    <w:pPr>
      <w:widowControl/>
      <w:spacing w:line="300" w:lineRule="auto"/>
      <w:ind w:firstLine="200" w:firstLineChars="200"/>
      <w:jc w:val="left"/>
    </w:pPr>
    <w:rPr>
      <w:rFonts w:eastAsia="华文细黑"/>
      <w:kern w:val="0"/>
      <w:sz w:val="24"/>
      <w:szCs w:val="24"/>
    </w:rPr>
  </w:style>
  <w:style w:type="paragraph" w:customStyle="1" w:styleId="33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6">
    <w:name w:val="样式 (中文) 黑体 小三 黑色"/>
    <w:basedOn w:val="3"/>
    <w:qFormat/>
    <w:uiPriority w:val="0"/>
    <w:pPr>
      <w:spacing w:before="260" w:after="260" w:line="240" w:lineRule="auto"/>
      <w:jc w:val="center"/>
    </w:pPr>
    <w:rPr>
      <w:rFonts w:ascii="Arial" w:hAnsi="Arial" w:eastAsia="黑体"/>
      <w:color w:val="000000"/>
      <w:sz w:val="30"/>
    </w:rPr>
  </w:style>
  <w:style w:type="paragraph" w:customStyle="1" w:styleId="337">
    <w:name w:val="样式 标题 2 + (中文) 宋体 (西文)五号 非(西文)粗体 段前: 6 磅 段后: 3 磅 行距: 1.5 倍行距"/>
    <w:basedOn w:val="3"/>
    <w:qFormat/>
    <w:uiPriority w:val="0"/>
    <w:pPr>
      <w:adjustRightInd w:val="0"/>
      <w:spacing w:before="120" w:after="60"/>
      <w:jc w:val="center"/>
      <w:textAlignment w:val="baseline"/>
    </w:pPr>
    <w:rPr>
      <w:rFonts w:ascii="Arial" w:hAnsi="Arial"/>
      <w:bCs w:val="0"/>
      <w:sz w:val="24"/>
      <w:szCs w:val="24"/>
    </w:rPr>
  </w:style>
  <w:style w:type="paragraph" w:customStyle="1" w:styleId="338">
    <w:name w:val="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39">
    <w:name w:val="Char Char2 Char Char Char Char"/>
    <w:basedOn w:val="1"/>
    <w:qFormat/>
    <w:uiPriority w:val="0"/>
    <w:rPr>
      <w:rFonts w:ascii="Tahoma" w:hAnsi="Tahoma"/>
      <w:sz w:val="24"/>
      <w:szCs w:val="20"/>
    </w:rPr>
  </w:style>
  <w:style w:type="paragraph" w:customStyle="1" w:styleId="340">
    <w:name w:val="样式 (中文) 黑体 小二 居中 行距: 1.5 倍行距"/>
    <w:basedOn w:val="1"/>
    <w:next w:val="1"/>
    <w:qFormat/>
    <w:uiPriority w:val="0"/>
    <w:pPr>
      <w:jc w:val="center"/>
    </w:pPr>
    <w:rPr>
      <w:rFonts w:eastAsia="黑体" w:cs="宋体"/>
      <w:sz w:val="36"/>
      <w:szCs w:val="20"/>
    </w:rPr>
  </w:style>
  <w:style w:type="paragraph" w:customStyle="1" w:styleId="341">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3">
    <w:name w:val="xl131"/>
    <w:basedOn w:val="1"/>
    <w:qFormat/>
    <w:uiPriority w:val="0"/>
    <w:pPr>
      <w:widowControl/>
      <w:pBdr>
        <w:bottom w:val="single" w:color="auto" w:sz="12" w:space="0"/>
      </w:pBdr>
      <w:spacing w:before="100" w:beforeAutospacing="1" w:after="100" w:afterAutospacing="1"/>
      <w:jc w:val="left"/>
    </w:pPr>
    <w:rPr>
      <w:rFonts w:ascii="宋体" w:hAnsi="宋体" w:cs="宋体"/>
      <w:kern w:val="0"/>
      <w:sz w:val="24"/>
      <w:szCs w:val="24"/>
    </w:rPr>
  </w:style>
  <w:style w:type="paragraph" w:customStyle="1" w:styleId="344">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45">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47">
    <w:name w:val="德吉标题二"/>
    <w:basedOn w:val="3"/>
    <w:qFormat/>
    <w:uiPriority w:val="0"/>
    <w:pPr>
      <w:tabs>
        <w:tab w:val="left" w:pos="1320"/>
      </w:tabs>
      <w:spacing w:before="260" w:after="260" w:line="416" w:lineRule="auto"/>
      <w:ind w:left="1320" w:hanging="420"/>
      <w:jc w:val="left"/>
    </w:pPr>
    <w:rPr>
      <w:rFonts w:ascii="仿宋_GB2312" w:hAnsi="Arial" w:eastAsia="仿宋_GB2312"/>
    </w:rPr>
  </w:style>
  <w:style w:type="paragraph" w:customStyle="1" w:styleId="348">
    <w:name w:val="样式6"/>
    <w:basedOn w:val="33"/>
    <w:next w:val="1"/>
    <w:qFormat/>
    <w:uiPriority w:val="0"/>
    <w:pPr>
      <w:tabs>
        <w:tab w:val="right" w:leader="dot" w:pos="9200"/>
      </w:tabs>
      <w:adjustRightInd/>
      <w:spacing w:line="1080" w:lineRule="atLeast"/>
      <w:jc w:val="both"/>
      <w:textAlignment w:val="auto"/>
    </w:pPr>
    <w:rPr>
      <w:rFonts w:ascii="Times New Roman" w:hAnsi="Times New Roman" w:eastAsia="仿宋_GB2312"/>
      <w:sz w:val="28"/>
      <w:szCs w:val="21"/>
    </w:rPr>
  </w:style>
  <w:style w:type="paragraph" w:customStyle="1" w:styleId="349">
    <w:name w:val="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50">
    <w:name w:val="样式7"/>
    <w:basedOn w:val="33"/>
    <w:next w:val="1"/>
    <w:qFormat/>
    <w:uiPriority w:val="0"/>
    <w:pPr>
      <w:tabs>
        <w:tab w:val="right" w:leader="dot" w:pos="9200"/>
      </w:tabs>
      <w:adjustRightInd/>
      <w:spacing w:line="1080" w:lineRule="atLeast"/>
      <w:jc w:val="both"/>
      <w:textAlignment w:val="auto"/>
    </w:pPr>
    <w:rPr>
      <w:rFonts w:ascii="Times New Roman" w:hAnsi="Times New Roman" w:eastAsia="仿宋_GB2312"/>
      <w:sz w:val="28"/>
      <w:szCs w:val="21"/>
    </w:rPr>
  </w:style>
  <w:style w:type="paragraph" w:customStyle="1" w:styleId="351">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5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3">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4">
    <w:name w:val="xl13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5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6">
    <w:name w:val="xl13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kern w:val="0"/>
      <w:sz w:val="20"/>
      <w:szCs w:val="20"/>
    </w:rPr>
  </w:style>
  <w:style w:type="paragraph" w:customStyle="1" w:styleId="358">
    <w:name w:val="Char Char Char"/>
    <w:basedOn w:val="1"/>
    <w:qFormat/>
    <w:uiPriority w:val="0"/>
    <w:pPr>
      <w:tabs>
        <w:tab w:val="left" w:pos="420"/>
      </w:tabs>
      <w:ind w:left="420" w:hanging="420"/>
    </w:pPr>
    <w:rPr>
      <w:rFonts w:ascii="Tahoma" w:hAnsi="Tahoma"/>
      <w:sz w:val="24"/>
      <w:szCs w:val="20"/>
    </w:rPr>
  </w:style>
  <w:style w:type="paragraph" w:customStyle="1" w:styleId="359">
    <w:name w:val="Char Char Char1 Char"/>
    <w:basedOn w:val="1"/>
    <w:qFormat/>
    <w:uiPriority w:val="0"/>
    <w:rPr>
      <w:szCs w:val="20"/>
    </w:rPr>
  </w:style>
  <w:style w:type="paragraph" w:customStyle="1" w:styleId="36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2">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363">
    <w:name w:val="网格型1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4">
    <w:name w:val="hover2"/>
    <w:qFormat/>
    <w:uiPriority w:val="0"/>
    <w:rPr>
      <w:color w:val="FFFFFF"/>
    </w:rPr>
  </w:style>
  <w:style w:type="character" w:customStyle="1" w:styleId="365">
    <w:name w:val="标题 3 字符"/>
    <w:qFormat/>
    <w:uiPriority w:val="0"/>
    <w:rPr>
      <w:rFonts w:ascii="Times New Roman" w:hAnsi="Times New Roman"/>
      <w:b/>
      <w:kern w:val="2"/>
      <w:sz w:val="24"/>
      <w:szCs w:val="24"/>
    </w:rPr>
  </w:style>
  <w:style w:type="character" w:customStyle="1" w:styleId="366">
    <w:name w:val="hover1"/>
    <w:qFormat/>
    <w:uiPriority w:val="0"/>
    <w:rPr>
      <w:color w:val="5FB878"/>
    </w:rPr>
  </w:style>
  <w:style w:type="character" w:customStyle="1" w:styleId="367">
    <w:name w:val="hover"/>
    <w:qFormat/>
    <w:uiPriority w:val="0"/>
    <w:rPr>
      <w:color w:val="5FB878"/>
    </w:rPr>
  </w:style>
  <w:style w:type="paragraph" w:customStyle="1" w:styleId="368">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table" w:customStyle="1" w:styleId="369">
    <w:name w:val="网格型21"/>
    <w:basedOn w:val="4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leNormal1"/>
    <w:qFormat/>
    <w:uiPriority w:val="0"/>
    <w:tblPr>
      <w:tblCellMar>
        <w:top w:w="0" w:type="dxa"/>
        <w:left w:w="0" w:type="dxa"/>
        <w:bottom w:w="0" w:type="dxa"/>
        <w:right w:w="0" w:type="dxa"/>
      </w:tblCellMar>
    </w:tblPr>
  </w:style>
  <w:style w:type="table" w:customStyle="1" w:styleId="371">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372">
    <w:name w:val="TableGrid1"/>
    <w:basedOn w:val="196"/>
    <w:qFormat/>
    <w:uiPriority w:val="0"/>
    <w:rPr>
      <w:rFonts w:ascii="Times New Roman" w:hAnsi="Times New Roman"/>
    </w:rPr>
  </w:style>
  <w:style w:type="character" w:customStyle="1" w:styleId="373">
    <w:name w:val="普通(网站) 字符"/>
    <w:link w:val="42"/>
    <w:qFormat/>
    <w:uiPriority w:val="99"/>
    <w:rPr>
      <w:rFonts w:ascii="Calibri" w:hAnsi="Calibri" w:eastAsia="宋体" w:cs="Times New Roman"/>
      <w:kern w:val="0"/>
      <w:sz w:val="24"/>
      <w:szCs w:val="20"/>
    </w:rPr>
  </w:style>
  <w:style w:type="paragraph" w:customStyle="1" w:styleId="374">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37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C1B10-BEBB-44F3-857B-04FE203F8AB4}">
  <ds:schemaRefs/>
</ds:datastoreItem>
</file>

<file path=docProps/app.xml><?xml version="1.0" encoding="utf-8"?>
<Properties xmlns="http://schemas.openxmlformats.org/officeDocument/2006/extended-properties" xmlns:vt="http://schemas.openxmlformats.org/officeDocument/2006/docPropsVTypes">
  <Template>Normal</Template>
  <Company>Bureau Veritas</Company>
  <Pages>49</Pages>
  <Words>2831</Words>
  <Characters>2962</Characters>
  <Lines>148</Lines>
  <Paragraphs>41</Paragraphs>
  <TotalTime>26</TotalTime>
  <ScaleCrop>false</ScaleCrop>
  <LinksUpToDate>false</LinksUpToDate>
  <CharactersWithSpaces>2987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2025-05-17T09:54:00Z</dcterms:created>
  <dc:creator>Administrator</dc:creator>
  <cp:lastModifiedBy>婷婷</cp:lastModifiedBy>
  <dcterms:modified xsi:type="dcterms:W3CDTF">2025-10-16T10:27:27Z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1B00CCD70A38424CBC9BB761DA5E3CAE_13</vt:lpwstr>
  </property>
  <property fmtid="{D5CDD505-2E9C-101B-9397-08002B2CF9AE}" pid="4" name="KSOTemplateDocerSaveRecord">
    <vt:lpwstr>eyJoZGlkIjoiMTc1ZWFjNDcyM2Q5NjQzZWE4ODg0MDU0N2VhNjM1ODIiLCJ1c2VySWQiOiIzNjIwODIzNjMifQ==</vt:lpwstr>
  </property>
</Properties>
</file>